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aption"/>
      </w:pPr>
      <w:r>
        <w:rPr>
          <w:rFonts w:ascii="Calibri" w:hAnsi="Calibri" w:eastAsia="Calibri" w:cs="Calibri"/>
        </w:rPr>
        <w:t>ЯСНОКОР    /    АНАЛИТИЧЕСКИЙ ОБЗОР    /    СЕНТЯБРЬ 2026</w:t>
      </w:r>
    </w:p>
    <w:p>
      <w:pPr>
        <w:spacing w:after="700"/>
      </w:pPr>
    </w:p>
    <w:p>
      <w:pPr>
        <w:pStyle w:val="Title"/>
      </w:pPr>
      <w:r>
        <w:rPr>
          <w:rFonts w:ascii="Cambria" w:hAnsi="Cambria" w:eastAsia="Cambria" w:cs="Cambria"/>
        </w:rPr>
        <w:t>Искусственный</w:t>
        <w:br/>
        <w:t>интеллект</w:t>
        <w:br/>
        <w:t>США и Китая</w:t>
      </w:r>
    </w:p>
    <w:p>
      <w:pPr>
        <w:pStyle w:val="Subtitle"/>
      </w:pPr>
      <w:r>
        <w:rPr>
          <w:rFonts w:ascii="Calibri" w:hAnsi="Calibri" w:eastAsia="Calibri" w:cs="Calibri"/>
        </w:rPr>
        <w:t>Стратегический и маркетинговый анализ</w:t>
        <w:br/>
        <w:t>Конкуренция  Экономика  Влияние на общество</w:t>
      </w:r>
    </w:p>
    <w:p>
      <w:pPr>
        <w:spacing w:after="280"/>
      </w:pPr>
    </w:p>
    <w:p>
      <w:pPr>
        <w:spacing w:after="240"/>
      </w:pPr>
      <w:r>
        <w:rPr>
          <w:rFonts w:ascii="Calibri" w:hAnsi="Calibri" w:eastAsia="Calibri" w:cs="Calibri"/>
          <w:sz w:val="26"/>
        </w:rPr>
        <w:t>Рекомендуемая стратегия для корпоративного заказчика — выбирать ИИ по стоимости принятой задачи, сохранять возможность замены модели и расширять внедрение после подтверждения экономического эффекта.</w:t>
      </w:r>
    </w:p>
    <w:p>
      <w:r>
        <w:rPr>
          <w:rFonts w:ascii="Calibri" w:hAnsi="Calibri" w:eastAsia="Calibri" w:cs="Calibri"/>
        </w:rPr>
        <w:t>Отчёт оценивает позиции ведущих американских и китайских компаний, изменения в структуре спроса и последствия распространения ИИ. Отдельное внимание уделено маркетингу, корпоративному внедрению, занятости, безопасности и ресурсным ограничениям.</w:t>
      </w:r>
    </w:p>
    <w:p>
      <w:r>
        <w:rPr>
          <w:rFonts w:ascii="Calibri" w:hAnsi="Calibri" w:eastAsia="Calibri" w:cs="Calibri"/>
        </w:rPr>
        <w:t>Адресат — руководители компаний, директора по стратегии и маркетингу, команды цифровой трансформации.</w:t>
      </w:r>
    </w:p>
    <w:p>
      <w:pPr>
        <w:spacing w:after="460"/>
      </w:pPr>
    </w:p>
    <w:p>
      <w:r>
        <w:rPr>
          <w:rFonts w:ascii="Calibri" w:hAnsi="Calibri" w:eastAsia="Calibri" w:cs="Calibri"/>
          <w:b/>
        </w:rPr>
        <w:t>14 компаний   /   11 разработчиков моделей   /   3 инфраструктурные и корпоративные платформы</w:t>
      </w:r>
    </w:p>
    <w:p>
      <w:pPr>
        <w:pStyle w:val="Caption"/>
      </w:pPr>
      <w:r>
        <w:rPr>
          <w:rFonts w:ascii="Calibri" w:hAnsi="Calibri" w:eastAsia="Calibri" w:cs="Calibri"/>
        </w:rPr>
        <w:t>Срез продуктов и тарифов — 5 сентября 2026 года. Статистика приводится с указанием периода. Сценарии до 2030 года и финансовая модель являются аналитическими инструментами, а не прогнозом доходности.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РЕЗЮМЕ</w:t>
      </w:r>
    </w:p>
    <w:p>
      <w:pPr>
        <w:pStyle w:val="Heading1"/>
      </w:pPr>
      <w:r>
        <w:rPr>
          <w:rFonts w:ascii="Cambria" w:hAnsi="Cambria" w:eastAsia="Cambria" w:cs="Cambria"/>
        </w:rPr>
        <w:t>Выводы для руководства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Для руководства ключевое решение — какие процессы автоматизировать и при каких условиях расширять бюджет. Выбор поставщика следует подчинить этому решению, сопоставляя качество, полную стоимость и возможность смены технологии.</w:t>
      </w:r>
    </w:p>
    <w:p>
      <w:pPr>
        <w:pStyle w:val="Heading2"/>
      </w:pPr>
      <w:r>
        <w:rPr>
          <w:rFonts w:ascii="Calibri" w:hAnsi="Calibri" w:eastAsia="Calibri" w:cs="Calibri"/>
        </w:rPr>
        <w:t>Инвестиционное преимущество США</w:t>
      </w:r>
    </w:p>
    <w:p>
      <w:r>
        <w:rPr>
          <w:rFonts w:ascii="Calibri" w:hAnsi="Calibri" w:eastAsia="Calibri" w:cs="Calibri"/>
        </w:rPr>
        <w:t>По Stanford, частные инвестиции 2025 года составили 285,9 млрд долларов в США и 12,4 млрд в Китае. Это преимущество в ресурсах, а не измерение качества моделей. Китайские альтернативы расширяют выбор заказчика; инвестиционный разрыв сам по себе не обосновывает закупку американского продукта. [1; аналитическая оценка]</w:t>
      </w:r>
    </w:p>
    <w:p>
      <w:pPr>
        <w:pStyle w:val="Heading2"/>
      </w:pPr>
      <w:r>
        <w:rPr>
          <w:rFonts w:ascii="Calibri" w:hAnsi="Calibri" w:eastAsia="Calibri" w:cs="Calibri"/>
        </w:rPr>
        <w:t>Конкуренция за завершённый процесс</w:t>
      </w:r>
    </w:p>
    <w:p>
      <w:r>
        <w:rPr>
          <w:rFonts w:ascii="Calibri" w:hAnsi="Calibri" w:eastAsia="Calibri" w:cs="Calibri"/>
        </w:rPr>
        <w:t>Сравнивать следует подготовленное исследование, принятое изменение кода или закрытое обращение. Расходы на проверку и повторные попытки входят в стоимость результата. Поставщик сохраняет ценовую премию, если сокращение этих расходов превышает доплату за модель; преимущество в отдельном тесте этого не доказывает.</w:t>
      </w:r>
    </w:p>
    <w:p>
      <w:pPr>
        <w:pStyle w:val="Heading2"/>
      </w:pPr>
      <w:r>
        <w:rPr>
          <w:rFonts w:ascii="Calibri" w:hAnsi="Calibri" w:eastAsia="Calibri" w:cs="Calibri"/>
        </w:rPr>
        <w:t>Открытость меняет экономику выбора</w:t>
      </w:r>
    </w:p>
    <w:p>
      <w:r>
        <w:rPr>
          <w:rFonts w:ascii="Calibri" w:hAnsi="Calibri" w:eastAsia="Calibri" w:cs="Calibri"/>
        </w:rPr>
        <w:t>Открытые веса позволяют выбирать инфраструктуру и глубже настраивать систему, но переносят на заказчика ответственность за эксплуатацию. Экономический выигрыш возникает при подходящей нагрузке, компетентной команде и приемлемой стоимости оборудования. Для небольшого объёма задач управляемый облачный сервис может быть выгоднее.</w:t>
      </w:r>
    </w:p>
    <w:p>
      <w:pPr>
        <w:pStyle w:val="Heading2"/>
      </w:pPr>
      <w:r>
        <w:rPr>
          <w:rFonts w:ascii="Calibri" w:hAnsi="Calibri" w:eastAsia="Calibri" w:cs="Calibri"/>
        </w:rPr>
        <w:t>Разрыв между продуктивностью и прибылью</w:t>
      </w:r>
    </w:p>
    <w:p>
      <w:r>
        <w:rPr>
          <w:rFonts w:ascii="Calibri" w:hAnsi="Calibri" w:eastAsia="Calibri" w:cs="Calibri"/>
        </w:rPr>
        <w:t>В опросе McKinsey 80% участников отмечают личную продуктивность, 37% — положительное влияние на EBIT компании. [2] EBIT — прибыль до процентов и налогов. Для бюджета это означает отдельную проверку того, как сэкономленное время превращается в дополнительный выпуск или снижение расходов.</w:t>
      </w:r>
    </w:p>
    <w:p>
      <w:pPr>
        <w:pStyle w:val="Heading2"/>
      </w:pPr>
      <w:r>
        <w:rPr>
          <w:rFonts w:ascii="Calibri" w:hAnsi="Calibri" w:eastAsia="Calibri" w:cs="Calibri"/>
        </w:rPr>
        <w:t>Контроль должен соответствовать полномочиям</w:t>
      </w:r>
    </w:p>
    <w:p>
      <w:r>
        <w:rPr>
          <w:rFonts w:ascii="Calibri" w:hAnsi="Calibri" w:eastAsia="Calibri" w:cs="Calibri"/>
        </w:rPr>
        <w:t>Допуск к действиям должен зависеть от последствий ошибки. Для критичных операций нужны ограниченные права, проверка результата и восстановление. Долгосрочные сценарии потери контроля остаются неопределёнными; их нельзя превращать в точный прогноз сроков или вероятности катастрофы. [24, 25]</w:t>
      </w:r>
    </w:p>
    <w:p>
      <w:pPr>
        <w:pStyle w:val="Caption"/>
      </w:pPr>
      <w:r>
        <w:rPr>
          <w:rFonts w:ascii="Calibri" w:hAnsi="Calibri" w:eastAsia="Calibri" w:cs="Calibri"/>
        </w:rPr>
        <w:t>Навигация: рынок и экономика — стр. 3–5; компании — 6–11; выбор и цены — 12–13; маркетинг — 14–15; общество и сценарии — 16–19; инвестиционная модель и внедрение — 20–22; стратегия интегратора и проверка эффекта — 23–24; методика и источники — 25–27.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01   РЫНОК</w:t>
      </w:r>
    </w:p>
    <w:p>
      <w:pPr>
        <w:pStyle w:val="Heading1"/>
      </w:pPr>
      <w:r>
        <w:rPr>
          <w:rFonts w:ascii="Cambria" w:hAnsi="Cambria" w:eastAsia="Cambria" w:cs="Cambria"/>
        </w:rPr>
        <w:t>Масштаб капитала и границы сравнения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Американское преимущество в финансировании создаёт запас ресурсов, но не исключает конкуренции со стороны более эффективных разработчиков и открытых экосистем.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1  Частные инвестиции в ИИ в 2025 году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6120000" cy="2378106"/>
            <wp:docPr id="1" name="Picture 1" descr="Рисунок 1  Частные инвестиции в ИИ в 2025 году. Источник: Stanford AI Index 2026 [1]. Круговая диаграмма относится к сумме США и Китая, а не к мировому рынку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pital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7810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Источник: Stanford AI Index 2026 [1]. Круговая диаграмма относится к сумме США и Китая, а не к мировому рынку.</w:t>
      </w:r>
    </w:p>
    <w:p>
      <w:r>
        <w:rPr>
          <w:rFonts w:ascii="Calibri" w:hAnsi="Calibri" w:eastAsia="Calibri" w:cs="Calibri"/>
        </w:rPr>
        <w:t>Stanford оценивает частные инвестиции в США в 285,9 млрд долларов, в Китае — в 12,4 млрд. Отношение составляет 23,1 раза. Государственные фонды Китая отражены неполно; это ограничивает сопоставимость общего финансирования. [1]</w:t>
      </w:r>
    </w:p>
    <w:p>
      <w:pPr>
        <w:pStyle w:val="Heading2"/>
      </w:pPr>
      <w:r>
        <w:rPr>
          <w:rFonts w:ascii="Calibri" w:hAnsi="Calibri" w:eastAsia="Calibri" w:cs="Calibri"/>
        </w:rPr>
        <w:t>Что означает асимметрия для конкуренции</w:t>
      </w:r>
    </w:p>
    <w:p>
      <w:r>
        <w:rPr>
          <w:rFonts w:ascii="Calibri" w:hAnsi="Calibri" w:eastAsia="Calibri" w:cs="Calibri"/>
        </w:rPr>
        <w:t>Большой инвестиционный ресурс позволяет вести несколько исследовательских направлений, развивать вычислительные мощности и финансировать распространение продукта до устойчивой окупаемости. При этом высокий объём обязательств увеличивает требования к будущей загрузке инфраструктуры. Для покупателя важен не масштаб привлечённого капитала сам по себе, а способность поставщика поддерживать цену, качество и доступность сервиса.</w:t>
      </w:r>
    </w:p>
    <w:p>
      <w:r>
        <w:rPr>
          <w:rFonts w:ascii="Calibri" w:hAnsi="Calibri" w:eastAsia="Calibri" w:cs="Calibri"/>
        </w:rPr>
        <w:t>Китайские компании могут конкурировать через эффективность использования вычислений, распространение открытых весов и объединение моделей с облачными продуктами. Их предложение следует оценивать на конкретном процессе: низкий тариф не компенсирует дополнительные исправления, а дорогое размещение может нивелировать выгоду открытой модели.</w:t>
      </w:r>
    </w:p>
    <w:p>
      <w:pPr>
        <w:pStyle w:val="Heading2"/>
      </w:pPr>
      <w:r>
        <w:rPr>
          <w:rFonts w:ascii="Calibri" w:hAnsi="Calibri" w:eastAsia="Calibri" w:cs="Calibri"/>
        </w:rPr>
        <w:t>Граница интерпретации</w:t>
      </w:r>
    </w:p>
    <w:p>
      <w:r>
        <w:rPr>
          <w:rFonts w:ascii="Calibri" w:hAnsi="Calibri" w:eastAsia="Calibri" w:cs="Calibri"/>
        </w:rPr>
        <w:t>Инвестиции, выручка поставщиков, расходы клиентов и экономическая ценность ИИ — разные показатели. Их нельзя складывать в единый «размер рынка». В этом отчёте не рассчитывается совокупная выручка отрасли: сравнимой базы по всем частным и публичным компаниям нет.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01   РЫНОК</w:t>
      </w:r>
    </w:p>
    <w:p>
      <w:pPr>
        <w:pStyle w:val="Heading1"/>
      </w:pPr>
      <w:r>
        <w:rPr>
          <w:rFonts w:ascii="Cambria" w:hAnsi="Cambria" w:eastAsia="Cambria" w:cs="Cambria"/>
        </w:rPr>
        <w:t>Разрыв между внедрением и отдачей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Корпоративный спрос смещается к доказуемой эффективности. Это увеличивает роль внедрения, контроля качества и отраслевой экспертизы в коммерческом предложении.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2  Индивидуальная польза и финансовый эффект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6120000" cy="2311570"/>
            <wp:docPr id="2" name="Picture 2" descr="Рисунок 2  Индивидуальная польза и финансовый эффект. McKinsey Global Survey 2026 [2]. 1 719 участников, 97 стран; опрос 4 мая — 8 июня 2026 года. Самооценки респондентов, а не аудит финансовой отчётности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doption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115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McKinsey Global Survey 2026 [2]. 1 719 участников, 97 стран; опрос 4 мая — 8 июня 2026 года. Самооценки респондентов, а не аудит финансовой отчётности.</w:t>
      </w:r>
    </w:p>
    <w:p>
      <w:r>
        <w:rPr>
          <w:rFonts w:ascii="Calibri" w:hAnsi="Calibri" w:eastAsia="Calibri" w:cs="Calibri"/>
        </w:rPr>
        <w:t>80% респондентов отмечают повышение собственной продуктивности; 37% связывают ИИ с положительным влиянием на EBIT компании. Около 6% соответствуют критериям высокой результативности: не менее 5% EBIT от ИИ и оценка его вклада как значительного. Показатели не образуют последовательную воронку. [2]</w:t>
      </w:r>
    </w:p>
    <w:p>
      <w:pPr>
        <w:pStyle w:val="Heading2"/>
      </w:pPr>
      <w:r>
        <w:rPr>
          <w:rFonts w:ascii="Calibri" w:hAnsi="Calibri" w:eastAsia="Calibri" w:cs="Calibri"/>
        </w:rPr>
        <w:t>Почему разрыв может сохраняться</w:t>
      </w:r>
    </w:p>
    <w:p>
      <w:r>
        <w:rPr>
          <w:rFonts w:ascii="Calibri" w:hAnsi="Calibri" w:eastAsia="Calibri" w:cs="Calibri"/>
        </w:rPr>
        <w:t>Освобождённое время остаётся локальным выигрышем, если организация не меняет распределение работы. Дополнительные расходы на интеграцию, лицензии и проверку могут поглощать эффект. В процессах с низкой пропускной способностью ускорение одного этапа не увеличит выпуск, пока ограничение находится на другом этапе.</w:t>
      </w:r>
    </w:p>
    <w:p>
      <w:r>
        <w:rPr>
          <w:rFonts w:ascii="Calibri" w:hAnsi="Calibri" w:eastAsia="Calibri" w:cs="Calibri"/>
        </w:rPr>
        <w:t>Для поставщика это означает необходимость продавать измеримую экономику применения. Для заказчика — заранее определить механизм реализации эффекта: увеличение объёма работы, сокращение внешних расходов, улучшение конверсии или снижение частоты ошибок. Эти механизмы требуют разных показателей и не должны дублироваться в расчётах.</w:t>
      </w:r>
    </w:p>
    <w:p>
      <w:pPr>
        <w:pStyle w:val="Heading2"/>
      </w:pPr>
      <w:r>
        <w:rPr>
          <w:rFonts w:ascii="Calibri" w:hAnsi="Calibri" w:eastAsia="Calibri" w:cs="Calibri"/>
        </w:rPr>
        <w:t>Следствие для бюджета</w:t>
      </w:r>
    </w:p>
    <w:p>
      <w:r>
        <w:rPr>
          <w:rFonts w:ascii="Calibri" w:hAnsi="Calibri" w:eastAsia="Calibri" w:cs="Calibri"/>
        </w:rPr>
        <w:t>Финансирование следует привязывать к этапам подтверждения результата. Сначала проверяются качество и полная стоимость одной задачи, затем — устойчивость в рабочем процессе. Расширение доступа к лицензиям без подтверждённого спроса внутри компании создаёт риск роста расходов при слабом использовании.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01   РЫНОК</w:t>
      </w:r>
    </w:p>
    <w:p>
      <w:pPr>
        <w:pStyle w:val="Heading1"/>
      </w:pPr>
      <w:r>
        <w:rPr>
          <w:rFonts w:ascii="Cambria" w:hAnsi="Cambria" w:eastAsia="Cambria" w:cs="Cambria"/>
        </w:rPr>
        <w:t>Где формируется прибыль в отрасли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Устойчивость бизнеса зависит от того, какой дефицитный ресурс он контролирует и насколько дорого клиенту сменить поставщика.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041"/>
        <w:gridCol w:w="3458"/>
        <w:gridCol w:w="4139"/>
      </w:tblGrid>
      <w:tr>
        <w:trPr>
          <w:cantSplit/>
          <w:tblHeader/>
        </w:trPr>
        <w:tc>
          <w:tcPr>
            <w:tcW w:type="dxa" w:w="2041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Уровень</w:t>
            </w:r>
          </w:p>
        </w:tc>
        <w:tc>
          <w:tcPr>
            <w:tcW w:type="dxa" w:w="345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Источник преимущества</w:t>
            </w:r>
          </w:p>
        </w:tc>
        <w:tc>
          <w:tcPr>
            <w:tcW w:type="dxa" w:w="4139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Монетизация и уязвимость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Вычислительная инфраструктура</w:t>
            </w:r>
          </w:p>
        </w:tc>
        <w:tc>
          <w:tcPr>
            <w:tcW w:type="dxa" w:w="345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Производительность, доступность мощностей, совместимость программ</w:t>
            </w:r>
          </w:p>
        </w:tc>
        <w:tc>
          <w:tcPr>
            <w:tcW w:type="dxa" w:w="4139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Продажа оборудования и ресурсов; чувствительность к загрузке и капитальным затратам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Базовые модели</w:t>
            </w:r>
          </w:p>
        </w:tc>
        <w:tc>
          <w:tcPr>
            <w:tcW w:type="dxa" w:w="345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Качество решения, эффективность, работа с инструментами</w:t>
            </w:r>
          </w:p>
        </w:tc>
        <w:tc>
          <w:tcPr>
            <w:tcW w:type="dxa" w:w="4139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Подписка и API; давление со стороны сопоставимых и открытых моделей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Облачные и офисные платформы</w:t>
            </w:r>
          </w:p>
        </w:tc>
        <w:tc>
          <w:tcPr>
            <w:tcW w:type="dxa" w:w="345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Доступ к клиенту, данные и встроенные рабочие процессы</w:t>
            </w:r>
          </w:p>
        </w:tc>
        <w:tc>
          <w:tcPr>
            <w:tcW w:type="dxa" w:w="4139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Расширение платных пакетов; риск высокой сложности внедрения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Прикладные решения</w:t>
            </w:r>
          </w:p>
        </w:tc>
        <w:tc>
          <w:tcPr>
            <w:tcW w:type="dxa" w:w="345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Отраслевая экспертиза, ответственность за результат</w:t>
            </w:r>
          </w:p>
        </w:tc>
        <w:tc>
          <w:tcPr>
            <w:tcW w:type="dxa" w:w="4139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Плата за пользователя, объём или результат; риск копирования функций</w:t>
            </w:r>
          </w:p>
        </w:tc>
      </w:tr>
      <w:tr>
        <w:trPr>
          <w:cantSplit/>
        </w:trPr>
        <w:tc>
          <w:tcPr>
            <w:tcW w:type="dxa" w:w="2041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Внедрение и контроль</w:t>
            </w:r>
          </w:p>
        </w:tc>
        <w:tc>
          <w:tcPr>
            <w:tcW w:type="dxa" w:w="345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Интеграции, тестовые данные, управление изменениями</w:t>
            </w:r>
          </w:p>
        </w:tc>
        <w:tc>
          <w:tcPr>
            <w:tcW w:type="dxa" w:w="4139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Проектная работа и сопровождение; необходимость масштабировать экспертизу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Аналитическая классификация. Один поставщик может работать на нескольких уровнях; строки не являются отдельными непересекающимися рынками.</w:t>
      </w:r>
    </w:p>
    <w:p>
      <w:pPr>
        <w:pStyle w:val="Heading2"/>
      </w:pPr>
      <w:r>
        <w:rPr>
          <w:rFonts w:ascii="Calibri" w:hAnsi="Calibri" w:eastAsia="Calibri" w:cs="Calibri"/>
        </w:rPr>
        <w:t>Сила покупателя возрастает там где возможна замена</w:t>
      </w:r>
    </w:p>
    <w:p>
      <w:r>
        <w:rPr>
          <w:rFonts w:ascii="Calibri" w:hAnsi="Calibri" w:eastAsia="Calibri" w:cs="Calibri"/>
        </w:rPr>
        <w:t>Стандартизированные интерфейсы и переносимые данные облегчают сравнение моделей. Напротив, глубокие интеграции, накопленная история и собственные форматы увеличивают стоимость переключения. Поэтому низкая начальная цена может сопровождаться высокой зависимостью после внедрения.</w:t>
      </w:r>
    </w:p>
    <w:p>
      <w:pPr>
        <w:pStyle w:val="Heading2"/>
      </w:pPr>
      <w:r>
        <w:rPr>
          <w:rFonts w:ascii="Calibri" w:hAnsi="Calibri" w:eastAsia="Calibri" w:cs="Calibri"/>
        </w:rPr>
        <w:t>Коммерческий приоритет для разных типов компаний</w:t>
      </w:r>
    </w:p>
    <w:p>
      <w:r>
        <w:rPr>
          <w:rFonts w:ascii="Calibri" w:hAnsi="Calibri" w:eastAsia="Calibri" w:cs="Calibri"/>
        </w:rPr>
        <w:t>Разработчику модели важно подтверждать преимущество на значимых задачах и удерживать приемлемую стоимость обслуживания. Платформе — обеспечивать использование внутри существующей клиентской базы. Отраслевому поставщику — владеть специфическим процессом и доказательной базой качества. Интегратору — превращать разовые настройки в повторяемую практику внедрения.</w:t>
      </w:r>
    </w:p>
    <w:p>
      <w:r>
        <w:rPr>
          <w:rFonts w:ascii="Calibri" w:hAnsi="Calibri" w:eastAsia="Calibri" w:cs="Calibri"/>
        </w:rPr>
        <w:t>Покупателю целесообразно отделять решение о модели от решения о хранении данных и бизнес-процессе. Это сохраняет возможность смены технологии без полной перестройки системы.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OpenAI и Anthropic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Премиальный сегмент строится вокруг сложной интеллектуальной работы, где стоимость ошибки и время специалиста могут превышать расходы на модель.</w:t>
      </w:r>
    </w:p>
    <w:p>
      <w:pPr>
        <w:pStyle w:val="Heading2"/>
      </w:pPr>
      <w:r>
        <w:rPr>
          <w:rFonts w:ascii="Calibri" w:hAnsi="Calibri" w:eastAsia="Calibri" w:cs="Calibri"/>
        </w:rPr>
        <w:t>OpenAI</w:t>
      </w:r>
    </w:p>
    <w:p>
      <w:r>
        <w:rPr>
          <w:rFonts w:ascii="Calibri" w:hAnsi="Calibri" w:eastAsia="Calibri" w:cs="Calibri"/>
        </w:rPr>
        <w:t>GPT‑6 Astra расширяет предложение ChatGPT и Codex в профессиональных и многошаговых задачах. Доступ разворачивается поэтапно; на старте корпоративное включение требует действий администратора. Заявленный тариф Standard — 10 долларов за миллион входных и 50 за миллион выходных токенов. [3]</w:t>
      </w:r>
    </w:p>
    <w:p>
      <w:r>
        <w:rPr>
          <w:rFonts w:ascii="Calibri" w:hAnsi="Calibri" w:eastAsia="Calibri" w:cs="Calibri"/>
        </w:rPr>
        <w:t>Коммерческая сила OpenAI — сочетание универсального помощника, среды разработки и программного доступа. Это позволяет покрывать несколько категорий корпоративного спроса и переводить пользователя от отдельного запроса к исполнению процесса. Уязвимость — высокая цена длинных запусков и необходимость доказывать дополнительную ценность относительно более дешёвых моделей.</w:t>
      </w:r>
    </w:p>
    <w:p>
      <w:r>
        <w:rPr>
          <w:rFonts w:ascii="Calibri" w:hAnsi="Calibri" w:eastAsia="Calibri" w:cs="Calibri"/>
        </w:rPr>
        <w:t>Есть и конкретные эксплуатационные ограничения: дополнительные проверки способны приостанавливать легитимную работу; в публикации отмечено ухудшение наблюдаемости части рассуждений. [3] Для закупки приоритетны частота успешного завершения, расходы на проверку и управляемость остановок. Перспектива компании зависит от того, насколько устойчиво система завершает задачи в реальной среде.</w:t>
      </w:r>
    </w:p>
    <w:p>
      <w:pPr>
        <w:pStyle w:val="Heading2"/>
      </w:pPr>
      <w:r>
        <w:rPr>
          <w:rFonts w:ascii="Calibri" w:hAnsi="Calibri" w:eastAsia="Calibri" w:cs="Calibri"/>
        </w:rPr>
        <w:t>Anthropic</w:t>
      </w:r>
    </w:p>
    <w:p>
      <w:r>
        <w:rPr>
          <w:rFonts w:ascii="Calibri" w:hAnsi="Calibri" w:eastAsia="Calibri" w:cs="Calibri"/>
        </w:rPr>
        <w:t>Claude Fable 5.1, представленная 1 сентября 2026 года, ориентирована на код, работу со знаниями и продолжительное решение задач. Тариф на вход и выход совпадает с приведённым Standard-тарифом Astra. По умолчанию Fable требует хранения данных 30 дней для мониторинга безопасности; для подходящих корпоративных клиентов предусмотрены специальные условия. [4]</w:t>
      </w:r>
    </w:p>
    <w:p>
      <w:r>
        <w:rPr>
          <w:rFonts w:ascii="Calibri" w:hAnsi="Calibri" w:eastAsia="Calibri" w:cs="Calibri"/>
        </w:rPr>
        <w:t>Сильная позиция — профессиональные команды с высокой ценностью надёжной работы. Однако продуктовые ограничения могут влиять на фактическое качество: отдельные запросы по кибербезопасности и биологии направляются на другие модели. [4] Поэтому оценка должна проводиться с действующими защитами и согласованными условиями обработки данных. Стратегическая угроза — сужение сегмента задач, на которых премиальная стоимость оправдывается измеримым преимуществом.</w:t>
      </w:r>
    </w:p>
    <w:p>
      <w:pPr>
        <w:pStyle w:val="Caption"/>
      </w:pPr>
      <w:r>
        <w:rPr>
          <w:rFonts w:ascii="Calibri" w:hAnsi="Calibri" w:eastAsia="Calibri" w:cs="Calibri"/>
        </w:rPr>
        <w:t>Факты о продуктах — [3, 4]. Выводы о позиционировании, уязвимостях и закупке являются аналитической оценкой.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Google и Meta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Платформенная дистрибуция позволяет внедрять новые функции в существующие привычки пользователей. Коммерческий эффект определяется качеством интеграции и доверием к данным.</w:t>
      </w:r>
    </w:p>
    <w:p>
      <w:pPr>
        <w:pStyle w:val="Heading2"/>
      </w:pPr>
      <w:r>
        <w:rPr>
          <w:rFonts w:ascii="Calibri" w:hAnsi="Calibri" w:eastAsia="Calibri" w:cs="Calibri"/>
        </w:rPr>
        <w:t>Google и Google DeepMind</w:t>
      </w:r>
    </w:p>
    <w:p>
      <w:r>
        <w:rPr>
          <w:rFonts w:ascii="Calibri" w:hAnsi="Calibri" w:eastAsia="Calibri" w:cs="Calibri"/>
        </w:rPr>
        <w:t>Gemini 3.8 Flash и версия Flash Cyber представлены 2 сентября 2026 года. Flash ориентирована на программирование и многошаговые процессы, Cyber предоставляется проверенным защитникам через Fairwind. Вводная цена Flash — 0,75 доллара за миллион входных и 3,75 за миллион выходных токенов. [5]</w:t>
      </w:r>
    </w:p>
    <w:p>
      <w:r>
        <w:rPr>
          <w:rFonts w:ascii="Calibri" w:hAnsi="Calibri" w:eastAsia="Calibri" w:cs="Calibri"/>
        </w:rPr>
        <w:t>Преимущество Google — возможность соединять модели с поиском, облаком и рабочими приложениями. Это снижает барьер доступа к корпоративной аудитории. Конкурентная логика Flash состоит в предложении сильных возможностей при относительно низкой цене единицы использования.</w:t>
      </w:r>
    </w:p>
    <w:p>
      <w:r>
        <w:rPr>
          <w:rFonts w:ascii="Calibri" w:hAnsi="Calibri" w:eastAsia="Calibri" w:cs="Calibri"/>
        </w:rPr>
        <w:t>Ограничение прямо следует из устройства продукта: на сложных заданиях модель может выполнять больше шагов и расходовать больше токенов. [5] Следовательно, низкую ставку необходимо проверять на стоимости завершённого процесса. Отдельный риск для клиента — зависимость от нескольких взаимосвязанных сервисов одного поставщика.</w:t>
      </w:r>
    </w:p>
    <w:p>
      <w:pPr>
        <w:pStyle w:val="Heading2"/>
      </w:pPr>
      <w:r>
        <w:rPr>
          <w:rFonts w:ascii="Calibri" w:hAnsi="Calibri" w:eastAsia="Calibri" w:cs="Calibri"/>
        </w:rPr>
        <w:t>Meta</w:t>
      </w:r>
    </w:p>
    <w:p>
      <w:r>
        <w:rPr>
          <w:rFonts w:ascii="Calibri" w:hAnsi="Calibri" w:eastAsia="Calibri" w:cs="Calibri"/>
        </w:rPr>
        <w:t>Muse Spark 1.3 доступна в Muse Code и Meta Model API. Компания выделяет улучшения длительных задач, выполнения инструкций и программирования. Открытие весов Muse Spark указано как дальнейшее направление, поэтому текущую версию нельзя автоматически считать открытой по аналогии с Llama. [6]</w:t>
      </w:r>
    </w:p>
    <w:p>
      <w:r>
        <w:rPr>
          <w:rFonts w:ascii="Calibri" w:hAnsi="Calibri" w:eastAsia="Calibri" w:cs="Calibri"/>
        </w:rPr>
        <w:t>Для Meta ИИ создаёт возможность расширять функции общения и инструменты для разработчиков. Сильная сторона — доступ к потребительской аудитории; коммерческая задача — превратить этот доступ в устойчивое использование профессиональных продуктов.</w:t>
      </w:r>
    </w:p>
    <w:p>
      <w:r>
        <w:rPr>
          <w:rFonts w:ascii="Calibri" w:hAnsi="Calibri" w:eastAsia="Calibri" w:cs="Calibri"/>
        </w:rPr>
        <w:t>Уязвимость заключается в разнице между массовым вовлечением и корпоративной надёжностью. Заказчик будет оценивать управление доступом, воспроизводимость и обработку данных отдельно от известности платформы. Более глубокая персонализация способна повышать полезность, но одновременно усиливает чувствительность к доверию аудитории.</w:t>
      </w:r>
    </w:p>
    <w:p>
      <w:pPr>
        <w:pStyle w:val="Caption"/>
      </w:pPr>
      <w:r>
        <w:rPr>
          <w:rFonts w:ascii="Calibri" w:hAnsi="Calibri" w:eastAsia="Calibri" w:cs="Calibri"/>
        </w:rPr>
        <w:t>Продуктовые сведения — [5, 6]. Экономические и маркетинговые выводы — аналитическая оценка.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Alibaba и DeepSeek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Китайские универсальные модели усиливают конкуренцию через выбор конфигураций, программную совместимость и варианты самостоятельного размещения.</w:t>
      </w:r>
    </w:p>
    <w:p>
      <w:pPr>
        <w:pStyle w:val="Heading2"/>
      </w:pPr>
      <w:r>
        <w:rPr>
          <w:rFonts w:ascii="Calibri" w:hAnsi="Calibri" w:eastAsia="Calibri" w:cs="Calibri"/>
        </w:rPr>
        <w:t>Alibaba</w:t>
      </w:r>
    </w:p>
    <w:p>
      <w:r>
        <w:rPr>
          <w:rFonts w:ascii="Calibri" w:hAnsi="Calibri" w:eastAsia="Calibri" w:cs="Calibri"/>
        </w:rPr>
        <w:t>Семейство Qwen3.8 объединяет Max, Flash и открытые варианты. Снимок Qwen3.8-Max-0902 обновлён 2 сентября; Flash поддерживает работу с текстом и изображениями, длинным контекстом и инструментами. В каталоге Alibaba Cloud присутствуют и модели других разработчиков. [8]</w:t>
      </w:r>
    </w:p>
    <w:p>
      <w:r>
        <w:rPr>
          <w:rFonts w:ascii="Calibri" w:hAnsi="Calibri" w:eastAsia="Calibri" w:cs="Calibri"/>
        </w:rPr>
        <w:t>Сильная сторона — сочетание разработки моделей и облачного канала продаж. Для клиента это упрощает доступ к нескольким вариантам в одной инфраструктуре; для поставщика создаёт возможность монетизировать вычисления даже при использовании сторонней модели.</w:t>
      </w:r>
    </w:p>
    <w:p>
      <w:r>
        <w:rPr>
          <w:rFonts w:ascii="Calibri" w:hAnsi="Calibri" w:eastAsia="Calibri" w:cs="Calibri"/>
        </w:rPr>
        <w:t>Уязвимость — неоднородность условий внутри портфеля: лицензии, доступность по регионам и способы размещения нужно проверять для конкретной версии. Широкий выбор повышает требования к управлению версиями. Перспектива Alibaba — роль платформы для корпоративного ИИ; риск — ценовое давление и перенос лояльности клиента с модели на более удобный канал доступа.</w:t>
      </w:r>
    </w:p>
    <w:p>
      <w:pPr>
        <w:pStyle w:val="Heading2"/>
      </w:pPr>
      <w:r>
        <w:rPr>
          <w:rFonts w:ascii="Calibri" w:hAnsi="Calibri" w:eastAsia="Calibri" w:cs="Calibri"/>
        </w:rPr>
        <w:t>DeepSeek</w:t>
      </w:r>
    </w:p>
    <w:p>
      <w:r>
        <w:rPr>
          <w:rFonts w:ascii="Calibri" w:hAnsi="Calibri" w:eastAsia="Calibri" w:cs="Calibri"/>
        </w:rPr>
        <w:t>DeepSeek V4 Pro перешла в общий доступ в августе 2026 года. Для семейства доступны открытые веса; API поддерживает распространённые форматы интеграции. Экспериментальная Flash Vision дополняет текстовые варианты. С 16 августа применяется разделение тарифов на пиковое и непиковое время. [9, 10]</w:t>
      </w:r>
    </w:p>
    <w:p>
      <w:r>
        <w:rPr>
          <w:rFonts w:ascii="Calibri" w:hAnsi="Calibri" w:eastAsia="Calibri" w:cs="Calibri"/>
        </w:rPr>
        <w:t>Коммерческий аргумент — эффективность и возможность уменьшить зависимость от одного способа доставки модели. Это особенно значимо для массовой обработки и команд, способных самостоятельно управлять инфраструктурой.</w:t>
      </w:r>
    </w:p>
    <w:p>
      <w:r>
        <w:rPr>
          <w:rFonts w:ascii="Calibri" w:hAnsi="Calibri" w:eastAsia="Calibri" w:cs="Calibri"/>
        </w:rPr>
        <w:t>Ограничение — различия между открытыми весами, API и приложением. Цена зависит от режима обслуживания, а дополнительное оборудование и сопровождение способны изменить итоговую экономику. Устойчивость позиции будет определяться регулярностью обновлений, доступностью мощностей и результативностью на задачах заказчика, а не только уровнем тарифа.</w:t>
      </w:r>
    </w:p>
    <w:p>
      <w:pPr>
        <w:pStyle w:val="Caption"/>
      </w:pPr>
      <w:r>
        <w:rPr>
          <w:rFonts w:ascii="Calibri" w:hAnsi="Calibri" w:eastAsia="Calibri" w:cs="Calibri"/>
        </w:rPr>
        <w:t>Фактическая база — [8–10]. Коммерческие выводы — аналитическая оценка.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Moonshot AI и Z ai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Специализация на программировании и длительных рабочих сессиях позволяет конкурировать за профессиональный спрос без универсального потребительского канала.</w:t>
      </w:r>
    </w:p>
    <w:p>
      <w:pPr>
        <w:pStyle w:val="Heading2"/>
      </w:pPr>
      <w:r>
        <w:rPr>
          <w:rFonts w:ascii="Calibri" w:hAnsi="Calibri" w:eastAsia="Calibri" w:cs="Calibri"/>
        </w:rPr>
        <w:t>Moonshot AI</w:t>
      </w:r>
    </w:p>
    <w:p>
      <w:r>
        <w:rPr>
          <w:rFonts w:ascii="Calibri" w:hAnsi="Calibri" w:eastAsia="Calibri" w:cs="Calibri"/>
        </w:rPr>
        <w:t>Kimi K3 — модель с открытыми весами, обработкой нескольких типов входных данных и контекстом до миллиона токенов. Карточка модели описывает программирование, работу со знаниями и рассуждения. Применяется собственная Kimi K3 License. [11]</w:t>
      </w:r>
    </w:p>
    <w:p>
      <w:r>
        <w:rPr>
          <w:rFonts w:ascii="Calibri" w:hAnsi="Calibri" w:eastAsia="Calibri" w:cs="Calibri"/>
        </w:rPr>
        <w:t>Преимущество — возможность выстраивать решение вокруг модели, сохраняя выбор инфраструктуры. Длинный контекст полезен для крупных кодовых баз и документов, но его объём не является доказательством точного извлечения каждого факта. Корпоративная ценность определяется качеством итогового изменения или аналитического результата.</w:t>
      </w:r>
    </w:p>
    <w:p>
      <w:r>
        <w:rPr>
          <w:rFonts w:ascii="Calibri" w:hAnsi="Calibri" w:eastAsia="Calibri" w:cs="Calibri"/>
        </w:rPr>
        <w:t>Уязвимость — сложность размещения крупной модели и зависимость от внешних инструментов. Открытые веса уменьшают зависимость от API, но не устраняют расходы на оборудование, обновление и проверку. Стратегическая возможность — стать основой специализированных продуктов; угроза — потеря контакта с конечным клиентом в пользу облачного посредника.</w:t>
      </w:r>
    </w:p>
    <w:p>
      <w:pPr>
        <w:pStyle w:val="Heading2"/>
      </w:pPr>
      <w:r>
        <w:rPr>
          <w:rFonts w:ascii="Calibri" w:hAnsi="Calibri" w:eastAsia="Calibri" w:cs="Calibri"/>
        </w:rPr>
        <w:t>Z ai</w:t>
      </w:r>
    </w:p>
    <w:p>
      <w:r>
        <w:rPr>
          <w:rFonts w:ascii="Calibri" w:hAnsi="Calibri" w:eastAsia="Calibri" w:cs="Calibri"/>
        </w:rPr>
        <w:t>GLM‑5.3 ориентирована на инженерные задачи и многошаговую работу. Она принимает только текст, поддерживает контекст до миллиона токенов и постоянно включённый режим рассуждений. В API предусмотрены разные уровни интенсивности вычислений. [12]</w:t>
      </w:r>
    </w:p>
    <w:p>
      <w:r>
        <w:rPr>
          <w:rFonts w:ascii="Calibri" w:hAnsi="Calibri" w:eastAsia="Calibri" w:cs="Calibri"/>
        </w:rPr>
        <w:t>Коммерческая сила — чёткий профессиональный фокус и относительно доступный тариф. Это создаёт основания для включения модели в сравнение систем разработки и автоматизации текстовых процессов.</w:t>
      </w:r>
    </w:p>
    <w:p>
      <w:r>
        <w:rPr>
          <w:rFonts w:ascii="Calibri" w:hAnsi="Calibri" w:eastAsia="Calibri" w:cs="Calibri"/>
        </w:rPr>
        <w:t>Ограничения предметны: визуальные документы требуют отдельного компонента, а обязательные рассуждения могут влиять на стоимость и время исполнения. Результаты внутренних оценок нельзя считать независимым доказательством лидерства. Перспектива — удержание инженерного сегмента через качество и эффективность; уязвимость — быстрое воспроизведение этих возможностей конкурентами.</w:t>
      </w:r>
    </w:p>
    <w:p>
      <w:pPr>
        <w:pStyle w:val="Caption"/>
      </w:pPr>
      <w:r>
        <w:rPr>
          <w:rFonts w:ascii="Calibri" w:hAnsi="Calibri" w:eastAsia="Calibri" w:cs="Calibri"/>
        </w:rPr>
        <w:t>Фактическая база — [11–13]. Оценки конкурентной позиции и экономики относятся к анализу отчёта.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Медиаконтент и актуальная информация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В этих сегментах ценность определяется управляемостью результата, скоростью производственного цикла и достоверностью исходной информации.</w:t>
      </w:r>
    </w:p>
    <w:p>
      <w:pPr>
        <w:pStyle w:val="Heading2"/>
      </w:pPr>
      <w:r>
        <w:rPr>
          <w:rFonts w:ascii="Calibri" w:hAnsi="Calibri" w:eastAsia="Calibri" w:cs="Calibri"/>
        </w:rPr>
        <w:t>ByteDance</w:t>
      </w:r>
    </w:p>
    <w:p>
      <w:r>
        <w:rPr>
          <w:rFonts w:ascii="Calibri" w:hAnsi="Calibri" w:eastAsia="Calibri" w:cs="Calibri"/>
        </w:rPr>
        <w:t>Seed2.1 представлена в вариантах Pro и Turbo для рабочих и инженерных задач. Seedance 2.5 создаёт аудиовидео, поддерживает референсы и редактирование, включая фрагменты до 30 секунд. [14, 15] Коммерческое преимущество — сокращение пути от брифа до тестируемого ролика. Ограничения связаны с точностью исполнения сцены, повторяемостью персонажей и правами на исходные материалы. Рост объёма генерации увеличивает ценность отбора и редакторского контроля; он не гарантирует роста эффективности рекламы.</w:t>
      </w:r>
    </w:p>
    <w:p>
      <w:pPr>
        <w:pStyle w:val="Heading2"/>
      </w:pPr>
      <w:r>
        <w:rPr>
          <w:rFonts w:ascii="Calibri" w:hAnsi="Calibri" w:eastAsia="Calibri" w:cs="Calibri"/>
        </w:rPr>
        <w:t>MiniMax</w:t>
      </w:r>
    </w:p>
    <w:p>
      <w:r>
        <w:rPr>
          <w:rFonts w:ascii="Calibri" w:hAnsi="Calibri" w:eastAsia="Calibri" w:cs="Calibri"/>
        </w:rPr>
        <w:t>Портфель включает M3 для программирования и мультимодальной работы, H3 для видео и Music 3.0. [16, 17] Сильная сторона — возможность комбинировать несколько форматов в одном производственном процессе. Перспективные задачи — локализация, озвучка и выпуск вариантов для разных аудиторий. Уязвимость — стоимость повторных попыток и различия качества между текстом, видео и аудио. Покупателю нужен расчёт цены принятой единицы контента, включая монтаж и проверку.</w:t>
      </w:r>
    </w:p>
    <w:p>
      <w:pPr>
        <w:pStyle w:val="Heading2"/>
      </w:pPr>
      <w:r>
        <w:rPr>
          <w:rFonts w:ascii="Calibri" w:hAnsi="Calibri" w:eastAsia="Calibri" w:cs="Calibri"/>
        </w:rPr>
        <w:t>xAI</w:t>
      </w:r>
    </w:p>
    <w:p>
      <w:r>
        <w:rPr>
          <w:rFonts w:ascii="Calibri" w:hAnsi="Calibri" w:eastAsia="Calibri" w:cs="Calibri"/>
        </w:rPr>
        <w:t>Grok 4.6 поддерживает инструменты и настраиваемые рассуждения; отдельно предлагаются продукты для изображений, видео и голоса. Доступ к текущим событиям требует включённых инструментов поиска: сама модель не обладает непрерывно обновляемым знанием. [7] Преимущество для маркетинга — анализ обсуждений и быстрый поиск сигналов. Ограничение — репрезентативность социальных данных и необходимость подтверждать факты. Система может помогать формировать гипотезы, но не заменяет исследование покупателей.</w:t>
      </w:r>
    </w:p>
    <w:p>
      <w:pPr>
        <w:pStyle w:val="Heading2"/>
      </w:pPr>
      <w:r>
        <w:rPr>
          <w:rFonts w:ascii="Calibri" w:hAnsi="Calibri" w:eastAsia="Calibri" w:cs="Calibri"/>
        </w:rPr>
        <w:t>Общий коммерческий вывод</w:t>
      </w:r>
    </w:p>
    <w:p>
      <w:r>
        <w:rPr>
          <w:rFonts w:ascii="Calibri" w:hAnsi="Calibri" w:eastAsia="Calibri" w:cs="Calibri"/>
        </w:rPr>
        <w:t>По мере удешевления производства контента конкурентное преимущество смещается к собственным данным о клиенте, узнаваемому качеству бренда и дисциплине экспериментов. Поставщикам медиамоделей важно обеспечивать предсказуемое редактирование; заказчикам — связывать генерацию с результатами кампании.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02   КОНКУРЕНТНЫЕ ПОЗИЦИИ</w:t>
      </w:r>
    </w:p>
    <w:p>
      <w:pPr>
        <w:pStyle w:val="Heading1"/>
      </w:pPr>
      <w:r>
        <w:rPr>
          <w:rFonts w:ascii="Cambria" w:hAnsi="Cambria" w:eastAsia="Cambria" w:cs="Cambria"/>
        </w:rPr>
        <w:t>Корпоративные платформы и инфраструктура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Microsoft, NVIDIA и Huawei следует оценивать по их роли в системе поставки ИИ. Сопоставлять их одним тестом интеллекта с разработчиками моделей некорректно.</w:t>
      </w:r>
    </w:p>
    <w:p>
      <w:pPr>
        <w:pStyle w:val="Heading2"/>
      </w:pPr>
      <w:r>
        <w:rPr>
          <w:rFonts w:ascii="Calibri" w:hAnsi="Calibri" w:eastAsia="Calibri" w:cs="Calibri"/>
        </w:rPr>
        <w:t>Microsoft</w:t>
      </w:r>
    </w:p>
    <w:p>
      <w:r>
        <w:rPr>
          <w:rFonts w:ascii="Calibri" w:hAnsi="Calibri" w:eastAsia="Calibri" w:cs="Calibri"/>
        </w:rPr>
        <w:t>Microsoft 365 Copilot использует существующие офисные процессы как канал внедрения ИИ; дорожная карта предусматривает использование нескольких моделей. [18] Сильная сторона — близость к ежедневной работе и корпоративным закупкам. Ограничение — зависимость результата от прав доступа, качества документов и фактического использования сотрудниками. Возможность роста состоит в расширении стоимости рабочего места; риск — ситуация, когда подписка покупается раньше, чем появляется востребованный процесс.</w:t>
      </w:r>
    </w:p>
    <w:p>
      <w:pPr>
        <w:pStyle w:val="Heading2"/>
      </w:pPr>
      <w:r>
        <w:rPr>
          <w:rFonts w:ascii="Calibri" w:hAnsi="Calibri" w:eastAsia="Calibri" w:cs="Calibri"/>
        </w:rPr>
        <w:t>NVIDIA</w:t>
      </w:r>
    </w:p>
    <w:p>
      <w:r>
        <w:rPr>
          <w:rFonts w:ascii="Calibri" w:hAnsi="Calibri" w:eastAsia="Calibri" w:cs="Calibri"/>
        </w:rPr>
        <w:t>Vera Rubin объединяет вычислительные и сетевые компоненты для масштабирования ИИ. [19] Преимущество поставщика связано с целостностью аппаратной и программной среды. Для клиента это может снижать сложность совместимости, но сопровождается капитальными затратами и требованиями к энергоснабжению. Перспектива зависит от спроса на вычисления; основная экономическая уязвимость покупателя — недостаточная загрузка приобретённых мощностей и более быстрое, чем ожидалось, изменение требований.</w:t>
      </w:r>
    </w:p>
    <w:p>
      <w:pPr>
        <w:pStyle w:val="Heading2"/>
      </w:pPr>
      <w:r>
        <w:rPr>
          <w:rFonts w:ascii="Calibri" w:hAnsi="Calibri" w:eastAsia="Calibri" w:cs="Calibri"/>
        </w:rPr>
        <w:t>Huawei</w:t>
      </w:r>
    </w:p>
    <w:p>
      <w:r>
        <w:rPr>
          <w:rFonts w:ascii="Calibri" w:hAnsi="Calibri" w:eastAsia="Calibri" w:cs="Calibri"/>
        </w:rPr>
        <w:t>Pangu предлагает отраслевые модели в экосистеме Huawei Cloud. [20] Сильная сторона — возможность связывать модель, вычислительную среду и прикладное внедрение. Для предприятий с совместимой инфраструктурой это может упрощать организацию проекта. Ограничение — стоимость интеграции и переносимости при изменении архитектуры. Потенциал роста связан с промышленными сценариями и спросом на управляемую инфраструктуру; риск — высокая зависимость эффекта от конкретного внедрения.</w:t>
      </w:r>
    </w:p>
    <w:p>
      <w:pPr>
        <w:pStyle w:val="Heading2"/>
      </w:pPr>
      <w:r>
        <w:rPr>
          <w:rFonts w:ascii="Calibri" w:hAnsi="Calibri" w:eastAsia="Calibri" w:cs="Calibri"/>
        </w:rPr>
        <w:t>Следствие для архитектуры закупки</w:t>
      </w:r>
    </w:p>
    <w:p>
      <w:r>
        <w:rPr>
          <w:rFonts w:ascii="Calibri" w:hAnsi="Calibri" w:eastAsia="Calibri" w:cs="Calibri"/>
        </w:rPr>
        <w:t>Модель, среду исполнения и хранение данных целесообразно рассматривать как связанные, но отдельные решения. Контракт должен позволять оценить стоимость изменения нагрузки, обновления версии и выхода из сервиса. Для инфраструктуры решающими становятся загрузка, доступная мощность, обслуживание и стоимость жизненного цикла.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03   ВЫБОР ПОСТАВЩИКА</w:t>
      </w:r>
    </w:p>
    <w:p>
      <w:pPr>
        <w:pStyle w:val="Heading1"/>
      </w:pPr>
      <w:r>
        <w:rPr>
          <w:rFonts w:ascii="Cambria" w:hAnsi="Cambria" w:eastAsia="Cambria" w:cs="Cambria"/>
        </w:rPr>
        <w:t>Сравнение конкурентных преимуществ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Матрица показывает основания для включения в короткий список. Она не присваивает универсальный рейтинг и не подменяет испытание на задачах заказчика.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474"/>
        <w:gridCol w:w="3912"/>
        <w:gridCol w:w="4252"/>
      </w:tblGrid>
      <w:tr>
        <w:trPr>
          <w:cantSplit/>
          <w:tblHeader/>
        </w:trPr>
        <w:tc>
          <w:tcPr>
            <w:tcW w:type="dxa" w:w="1474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Разработчик</w:t>
            </w:r>
          </w:p>
        </w:tc>
        <w:tc>
          <w:tcPr>
            <w:tcW w:type="dxa" w:w="391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Основной коммерческий аргумент</w:t>
            </w:r>
          </w:p>
        </w:tc>
        <w:tc>
          <w:tcPr>
            <w:tcW w:type="dxa" w:w="425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Критическая проверка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OpenAI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Универсальная профессиональная среда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Стоимость длительной задачи и остановок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Anthropic</w:t>
            </w:r>
          </w:p>
        </w:tc>
        <w:tc>
          <w:tcPr>
            <w:tcW w:type="dxa" w:w="391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Сложная работа с кодом и знаниями</w:t>
            </w:r>
          </w:p>
        </w:tc>
        <w:tc>
          <w:tcPr>
            <w:tcW w:type="dxa" w:w="425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Данные, защитная маршрутизация и цена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Google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Модели внутри облака и приложений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Фактический расход на весь процесс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Meta</w:t>
            </w:r>
          </w:p>
        </w:tc>
        <w:tc>
          <w:tcPr>
            <w:tcW w:type="dxa" w:w="391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Дистрибуция и инструменты разработчика</w:t>
            </w:r>
          </w:p>
        </w:tc>
        <w:tc>
          <w:tcPr>
            <w:tcW w:type="dxa" w:w="425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Условия доступа и статус открытости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xAI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Работа с поиском и текущими сигналами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Надёжность и охват источников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Alibaba</w:t>
            </w:r>
          </w:p>
        </w:tc>
        <w:tc>
          <w:tcPr>
            <w:tcW w:type="dxa" w:w="391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Портфель моделей и облачная платформа</w:t>
            </w:r>
          </w:p>
        </w:tc>
        <w:tc>
          <w:tcPr>
            <w:tcW w:type="dxa" w:w="425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Версия, регион и лицензия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DeepSeek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Эффективность и выбор размещения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Тарифный режим и расходы эксплуатации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Moonshot AI</w:t>
            </w:r>
          </w:p>
        </w:tc>
        <w:tc>
          <w:tcPr>
            <w:tcW w:type="dxa" w:w="391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Открытые веса и длинные задачи</w:t>
            </w:r>
          </w:p>
        </w:tc>
        <w:tc>
          <w:tcPr>
            <w:tcW w:type="dxa" w:w="425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Лицензия и инфраструктурная нагрузка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Z.ai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Инженерный фокус и экономика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Текстовый ввод и режим рассуждений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ByteDance</w:t>
            </w:r>
          </w:p>
        </w:tc>
        <w:tc>
          <w:tcPr>
            <w:tcW w:type="dxa" w:w="391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Агенты и производство видео</w:t>
            </w:r>
          </w:p>
        </w:tc>
        <w:tc>
          <w:tcPr>
            <w:tcW w:type="dxa" w:w="425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Управляемость по брифу и права</w:t>
            </w:r>
          </w:p>
        </w:tc>
      </w:tr>
      <w:tr>
        <w:trPr>
          <w:cantSplit/>
        </w:trPr>
        <w:tc>
          <w:tcPr>
            <w:tcW w:type="dxa" w:w="147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MiniMax</w:t>
            </w:r>
          </w:p>
        </w:tc>
        <w:tc>
          <w:tcPr>
            <w:tcW w:type="dxa" w:w="391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Комбинация текстовых и медиаформатов</w:t>
            </w:r>
          </w:p>
        </w:tc>
        <w:tc>
          <w:tcPr>
            <w:tcW w:type="dxa" w:w="425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Цена принятого результата и переделок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Аналитическая матрица на базе источников [3–17]. Инфраструктурные и офисные платформы рассмотрены отдельно на стр. 11.</w:t>
      </w:r>
    </w:p>
    <w:p>
      <w:pPr>
        <w:pStyle w:val="Heading2"/>
      </w:pPr>
      <w:r>
        <w:rPr>
          <w:rFonts w:ascii="Calibri" w:hAnsi="Calibri" w:eastAsia="Calibri" w:cs="Calibri"/>
        </w:rPr>
        <w:t>Как получить сопоставимый результат</w:t>
      </w:r>
    </w:p>
    <w:p>
      <w:r>
        <w:rPr>
          <w:rFonts w:ascii="Calibri" w:hAnsi="Calibri" w:eastAsia="Calibri" w:cs="Calibri"/>
        </w:rPr>
        <w:t>Зафиксировать версию, доступные инструменты, лимит расходов и одинаковый набор заданий. Оценивать не только точность ответа, но и долю принятых результатов, время специалиста, устойчивость при сбоях и соответствие требованиям обработки данных.</w:t>
      </w:r>
    </w:p>
    <w:p>
      <w:r>
        <w:rPr>
          <w:rFonts w:ascii="Calibri" w:hAnsi="Calibri" w:eastAsia="Calibri" w:cs="Calibri"/>
        </w:rPr>
        <w:t>Сравнение закрытых сервисов с открытыми моделями должно включать стоимость обслуживания. Результаты тестов разных авторов нельзя объединять в единый балл без проверки версий, набора задач и настроек. Отсутствие публикации показателя не означает нулевое качество.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03   ВЫБОР ПОСТАВЩИКА</w:t>
      </w:r>
    </w:p>
    <w:p>
      <w:pPr>
        <w:pStyle w:val="Heading1"/>
      </w:pPr>
      <w:r>
        <w:rPr>
          <w:rFonts w:ascii="Cambria" w:hAnsi="Cambria" w:eastAsia="Cambria" w:cs="Cambria"/>
        </w:rPr>
        <w:t>Тарифы и полная стоимость использования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Тариф — лишь один компонент расходов. Решение о закупке должно опираться на стоимость принятого результата с учётом повторных запусков и человеческого контроля.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3  Сопоставление опубликованных тарифов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6120000" cy="2320997"/>
            <wp:docPr id="3" name="Picture 3" descr="Рисунок 3  Сопоставление опубликованных тарифов. Фиксированный объём: 1 млн входных и 250 тыс. выходных токенов. Доллары США; срез 05.09.2026. Источники [3–5, 7, 13]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icing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232099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Фиксированный объём: 1 млн входных и 250 тыс. выходных токенов. Доллары США; срез 05.09.2026. Источники [3–5, 7, 13].</w:t>
      </w:r>
    </w:p>
    <w:p>
      <w:r>
        <w:rPr>
          <w:rFonts w:ascii="Calibri" w:hAnsi="Calibri" w:eastAsia="Calibri" w:cs="Calibri"/>
        </w:rPr>
        <w:t>Указаны стандартные ставки без скидок на кэширование, дополнительных инструментов и налогов; для Gemini — вводная цена. Сравнение не означает, что модели выполнят одну и ту же задачу с одинаковым расходом или качеством. Для тарифов со сложными временными режимами требуется отдельный расчёт.</w:t>
      </w:r>
    </w:p>
    <w:p>
      <w:pPr>
        <w:pStyle w:val="Heading2"/>
      </w:pPr>
      <w:r>
        <w:rPr>
          <w:rFonts w:ascii="Calibri" w:hAnsi="Calibri" w:eastAsia="Calibri" w:cs="Calibri"/>
        </w:rPr>
        <w:t>Экономическая модель закупки</w:t>
      </w:r>
    </w:p>
    <w:p>
      <w:r>
        <w:rPr>
          <w:rFonts w:ascii="Calibri" w:hAnsi="Calibri" w:eastAsia="Calibri" w:cs="Calibri"/>
        </w:rPr>
        <w:t>Полная стоимость включает использование модели, вычисления, интеграцию, хранение, контроль результата и сопровождение. Для медиаконтента дополнительно учитываются отбор и монтаж. Для собственного размещения — загрузка оборудования и стоимость команды эксплуатации.</w:t>
      </w:r>
    </w:p>
    <w:p>
      <w:r>
        <w:rPr>
          <w:rFonts w:ascii="Calibri" w:hAnsi="Calibri" w:eastAsia="Calibri" w:cs="Calibri"/>
        </w:rPr>
        <w:t>В качественно сложном процессе более дорогая модель может быть выгоднее, если существенно уменьшает число исправлений. В массовой стандартной операции премиальные возможности могут оставаться невостребованными. Это обосновывает применение нескольких классов моделей с маршрутизацией по сложности задачи.</w:t>
      </w:r>
    </w:p>
    <w:p>
      <w:pPr>
        <w:pStyle w:val="Heading2"/>
      </w:pPr>
      <w:r>
        <w:rPr>
          <w:rFonts w:ascii="Calibri" w:hAnsi="Calibri" w:eastAsia="Calibri" w:cs="Calibri"/>
        </w:rPr>
        <w:t>Коммерческие условия которые меняют сравнение</w:t>
      </w:r>
    </w:p>
    <w:p>
      <w:r>
        <w:rPr>
          <w:rFonts w:ascii="Calibri" w:hAnsi="Calibri" w:eastAsia="Calibri" w:cs="Calibri"/>
        </w:rPr>
        <w:t>До заключения договора следует согласовать лимиты, порядок изменения цены, доступность конкретных версий, хранение данных и план выхода. Пилот проводится с теми же настройками и защитами, которые будут действовать после внедрения.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04   КОММЕРЧЕСКИЕ ВОЗМОЖНОСТИ</w:t>
      </w:r>
    </w:p>
    <w:p>
      <w:pPr>
        <w:pStyle w:val="Heading1"/>
      </w:pPr>
      <w:r>
        <w:rPr>
          <w:rFonts w:ascii="Cambria" w:hAnsi="Cambria" w:eastAsia="Cambria" w:cs="Cambria"/>
        </w:rPr>
        <w:t>Как меняется маркетинговая конкуренция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Снижение стоимости создания контента повышает ценность факторов, которые труднее воспроизвести: клиентских отношений, доказуемых свойств продукта и данных о реальном поведении.</w:t>
      </w:r>
    </w:p>
    <w:p>
      <w:pPr>
        <w:pStyle w:val="Heading2"/>
      </w:pPr>
      <w:r>
        <w:rPr>
          <w:rFonts w:ascii="Calibri" w:hAnsi="Calibri" w:eastAsia="Calibri" w:cs="Calibri"/>
        </w:rPr>
        <w:t>Производство контента становится менее дефицитным</w:t>
      </w:r>
    </w:p>
    <w:p>
      <w:r>
        <w:rPr>
          <w:rFonts w:ascii="Calibri" w:hAnsi="Calibri" w:eastAsia="Calibri" w:cs="Calibri"/>
        </w:rPr>
        <w:t>Генерация ускоряет подготовку текстов, иллюстраций, локализаций и видео. Однако количество вариантов не равно качеству контакта с покупателем. Если одинаковые инструменты доступны конкурентам, само наличие ИИ быстро теряет силу позиционирования. Коммерческий эффект следует искать в скорости проверки гипотез и точности попадания в потребность.</w:t>
      </w:r>
    </w:p>
    <w:p>
      <w:pPr>
        <w:pStyle w:val="Heading2"/>
      </w:pPr>
      <w:r>
        <w:rPr>
          <w:rFonts w:ascii="Calibri" w:hAnsi="Calibri" w:eastAsia="Calibri" w:cs="Calibri"/>
        </w:rPr>
        <w:t>Исследовательская функция требует собственных данных</w:t>
      </w:r>
    </w:p>
    <w:p>
      <w:r>
        <w:rPr>
          <w:rFonts w:ascii="Calibri" w:hAnsi="Calibri" w:eastAsia="Calibri" w:cs="Calibri"/>
        </w:rPr>
        <w:t>ИИ помогает систематизировать отзывы и обращения, но публичные обсуждения могут быть смещены, а причинные объяснения — ошибочны. Преимущество получает компания, которая связывает качественные наблюдения с транзакциями, повторными покупками и отказами. Собственные данные позволяют проверять гипотезы на покупательском поведении; конкурент не получает этот доступ вместе с подпиской на ту же модель.</w:t>
      </w:r>
    </w:p>
    <w:p>
      <w:pPr>
        <w:pStyle w:val="Heading2"/>
      </w:pPr>
      <w:r>
        <w:rPr>
          <w:rFonts w:ascii="Calibri" w:hAnsi="Calibri" w:eastAsia="Calibri" w:cs="Calibri"/>
        </w:rPr>
        <w:t>Поставщикам услуг приходится менять предмет продажи</w:t>
      </w:r>
    </w:p>
    <w:p>
      <w:r>
        <w:rPr>
          <w:rFonts w:ascii="Calibri" w:hAnsi="Calibri" w:eastAsia="Calibri" w:cs="Calibri"/>
        </w:rPr>
        <w:t>Агентства и консультанты сталкиваются с давлением на стоимость стандартных материалов. Защищаемая часть предложения — постановка задачи, исследование, творческое решение, эксперимент и ответственность за результат. Это создаёт основания пересматривать пакеты услуг и ценообразование, сохраняя прозрачность трудоёмкости и вклада команды.</w:t>
      </w:r>
    </w:p>
    <w:p>
      <w:pPr>
        <w:pStyle w:val="Heading2"/>
      </w:pPr>
      <w:r>
        <w:rPr>
          <w:rFonts w:ascii="Calibri" w:hAnsi="Calibri" w:eastAsia="Calibri" w:cs="Calibri"/>
        </w:rPr>
        <w:t>Доверие становится частью экономики бренда</w:t>
      </w:r>
    </w:p>
    <w:p>
      <w:r>
        <w:rPr>
          <w:rFonts w:ascii="Calibri" w:hAnsi="Calibri" w:eastAsia="Calibri" w:cs="Calibri"/>
        </w:rPr>
        <w:t>Рост убедительного синтетического контента увеличивает ценность проверяемого происхождения информации. Для бренда важны права на материалы, достоверность обещаний и единые критерии качества. Снижение расходов на производство может оказаться невыгодным, если растут репутационные потери или стоимость исправления кампаний. [25; аналитическая оценка]</w:t>
      </w:r>
    </w:p>
    <w:p>
      <w:pPr>
        <w:pStyle w:val="Heading2"/>
      </w:pPr>
      <w:r>
        <w:rPr>
          <w:rFonts w:ascii="Calibri" w:hAnsi="Calibri" w:eastAsia="Calibri" w:cs="Calibri"/>
        </w:rPr>
        <w:t>Приоритет для руководителя маркетинга</w:t>
      </w:r>
    </w:p>
    <w:p>
      <w:r>
        <w:rPr>
          <w:rFonts w:ascii="Calibri" w:hAnsi="Calibri" w:eastAsia="Calibri" w:cs="Calibri"/>
        </w:rPr>
        <w:t>Оценивать дополнительную валовую прибыль, стоимость привлечения и удержание клиентов. Рост кликов или объёма контента сам по себе не подтверждает окупаемость. Кампании следует сравнивать с контрольной группой, учитывая цену, медиабюджет и сезонность; затраты на генерацию, редактуру и проверку включаются в расчёт.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04   КОММЕРЧЕСКИЕ ВОЗМОЖНОСТИ</w:t>
      </w:r>
    </w:p>
    <w:p>
      <w:pPr>
        <w:pStyle w:val="Heading1"/>
      </w:pPr>
      <w:r>
        <w:rPr>
          <w:rFonts w:ascii="Cambria" w:hAnsi="Cambria" w:eastAsia="Cambria" w:cs="Cambria"/>
        </w:rPr>
        <w:t>Портфель применений и критерии эффекта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Начальный портфель должен сочетать измеримость, приемлемый риск и готовность данных. Технически впечатляющая задача не всегда имеет высокий приоритет для бизнеса.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572"/>
        <w:gridCol w:w="3798"/>
      </w:tblGrid>
      <w:tr>
        <w:trPr>
          <w:cantSplit/>
          <w:tblHeader/>
        </w:trPr>
        <w:tc>
          <w:tcPr>
            <w:tcW w:type="dxa" w:w="226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Применение</w:t>
            </w:r>
          </w:p>
        </w:tc>
        <w:tc>
          <w:tcPr>
            <w:tcW w:type="dxa" w:w="357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Механизм создания ценности</w:t>
            </w:r>
          </w:p>
        </w:tc>
        <w:tc>
          <w:tcPr>
            <w:tcW w:type="dxa" w:w="379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Показатель и ограничение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Анализ отзывов и обращений</w:t>
            </w:r>
          </w:p>
        </w:tc>
        <w:tc>
          <w:tcPr>
            <w:tcW w:type="dxa" w:w="357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Быстрее выявлять повторяющиеся проблемы и сегменты спроса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Точность классификации; независимая проверка выводов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Подготовка коммерческих предложений</w:t>
            </w:r>
          </w:p>
        </w:tc>
        <w:tc>
          <w:tcPr>
            <w:tcW w:type="dxa" w:w="357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Сокращать цикл ответа и ручной сбор сведений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Время до согласованного документа; контроль условий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Производство рекламных вариантов</w:t>
            </w:r>
          </w:p>
        </w:tc>
        <w:tc>
          <w:tcPr>
            <w:tcW w:type="dxa" w:w="357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Ускорять проверку гипотез и локализацию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Цена принятого креатива; результат контролируемого теста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Поддержка клиентов</w:t>
            </w:r>
          </w:p>
        </w:tc>
        <w:tc>
          <w:tcPr>
            <w:tcW w:type="dxa" w:w="357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Быстрее закрывать стандартные обращения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Стоимость решения; повторные контакты и эскалации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Разработка внутренних инструментов</w:t>
            </w:r>
          </w:p>
        </w:tc>
        <w:tc>
          <w:tcPr>
            <w:tcW w:type="dxa" w:w="357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Сокращать время реализации ограниченных функций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Время до приёмки; дефекты и расходы сопровождения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Работа с корпоративными знаниями</w:t>
            </w:r>
          </w:p>
        </w:tc>
        <w:tc>
          <w:tcPr>
            <w:tcW w:type="dxa" w:w="357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Уменьшать поиск и повторную подготовку информации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Время ответа; точность ссылок и разграничение доступа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Рекомендации по построению портфеля являются аналитическими. Универсальные проценты прироста продаж или экономии не предполагаются.</w:t>
      </w:r>
    </w:p>
    <w:p>
      <w:pPr>
        <w:pStyle w:val="Heading2"/>
      </w:pPr>
      <w:r>
        <w:rPr>
          <w:rFonts w:ascii="Calibri" w:hAnsi="Calibri" w:eastAsia="Calibri" w:cs="Calibri"/>
        </w:rPr>
        <w:t>Порядок приоритизации</w:t>
      </w:r>
    </w:p>
    <w:p>
      <w:r>
        <w:rPr>
          <w:rFonts w:ascii="Calibri" w:hAnsi="Calibri" w:eastAsia="Calibri" w:cs="Calibri"/>
        </w:rPr>
        <w:t>Первыми обычно целесообразно проверять повторяемые процессы с доступными примерами, понятной приёмкой и обратимыми последствиями ошибки. Высокая потенциальная выгода не компенсирует отсутствие ответственного владельца или невозможность измерить качество.</w:t>
      </w:r>
    </w:p>
    <w:p>
      <w:pPr>
        <w:pStyle w:val="Heading2"/>
      </w:pPr>
      <w:r>
        <w:rPr>
          <w:rFonts w:ascii="Calibri" w:hAnsi="Calibri" w:eastAsia="Calibri" w:cs="Calibri"/>
        </w:rPr>
        <w:t>Выбор между покупкой и собственной разработкой</w:t>
      </w:r>
    </w:p>
    <w:p>
      <w:r>
        <w:rPr>
          <w:rFonts w:ascii="Calibri" w:hAnsi="Calibri" w:eastAsia="Calibri" w:cs="Calibri"/>
        </w:rPr>
        <w:t>Готовый продукт сокращает время запуска; собственное решение даёт больше контроля над логикой и интеграциями. Сравнение проводится на сроке эксплуатации, включая обновления, поддержку и риск зависимости от отдельных сотрудников. Прототип не следует оценивать как уже готовую замену промышленному продукту.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05   ВЛИЯНИЕ НА ОБЩЕСТВО</w:t>
      </w:r>
    </w:p>
    <w:p>
      <w:pPr>
        <w:pStyle w:val="Heading1"/>
      </w:pPr>
      <w:r>
        <w:rPr>
          <w:rFonts w:ascii="Cambria" w:hAnsi="Cambria" w:eastAsia="Cambria" w:cs="Cambria"/>
        </w:rPr>
        <w:t>Занятость и распределение выгод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ИИ воздействует на состав задач внутри профессий. Изменение структуры работы может происходить раньше, чем заметное сокращение или увеличение общей занятости.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4  Потенциальная подверженность профессий генеративному ИИ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5220000" cy="2453286"/>
            <wp:docPr id="4" name="Picture 4" descr="Рисунок 4  Потенциальная подверженность профессий генеративному ИИ. Оценка ILO–NASK 2025 [21, 22]. Доли занятости в профессиях с некоторой подверженностью. Разные основания двух диаграмм; это не прогноз увольнений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orkforc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45328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Оценка ILO–NASK 2025 [21, 22]. Доли занятости в профессиях с некоторой подверженностью. Разные основания двух диаграмм; это не прогноз увольнений.</w:t>
      </w:r>
    </w:p>
    <w:p>
      <w:r>
        <w:rPr>
          <w:rFonts w:ascii="Calibri" w:hAnsi="Calibri" w:eastAsia="Calibri" w:cs="Calibri"/>
        </w:rPr>
        <w:t>В мире показатель составляет около 25%, в странах с высоким доходом — 34%. Исследование оценивает потенциальное воздействие технологии, а не фактическую потерю рабочих мест. Сохранение человеческого участия делает изменение задач более вероятным исходом для многих профессий, чем полное замещение. [21, 22]</w:t>
      </w:r>
    </w:p>
    <w:p>
      <w:pPr>
        <w:pStyle w:val="Heading2"/>
      </w:pPr>
      <w:r>
        <w:rPr>
          <w:rFonts w:ascii="Calibri" w:hAnsi="Calibri" w:eastAsia="Calibri" w:cs="Calibri"/>
        </w:rPr>
        <w:t>Экономические каналы воздействия</w:t>
      </w:r>
    </w:p>
    <w:p>
      <w:r>
        <w:rPr>
          <w:rFonts w:ascii="Calibri" w:hAnsi="Calibri" w:eastAsia="Calibri" w:cs="Calibri"/>
        </w:rPr>
        <w:t>Автоматизация части задач может снижать спрос на отдельные операции, одновременно повышая спрос на проверку, интеграцию и отраслевую экспертизу. Более дешёвое выполнение работы способно расширять рынок услуг. Итог зависит от реакции спроса, темпа обучения и распределения доходов между трудом, владельцами технологий и покупателями.</w:t>
      </w:r>
    </w:p>
    <w:p>
      <w:pPr>
        <w:pStyle w:val="Heading2"/>
      </w:pPr>
      <w:r>
        <w:rPr>
          <w:rFonts w:ascii="Calibri" w:hAnsi="Calibri" w:eastAsia="Calibri" w:cs="Calibri"/>
        </w:rPr>
        <w:t>Риск для развития специалистов</w:t>
      </w:r>
    </w:p>
    <w:p>
      <w:r>
        <w:rPr>
          <w:rFonts w:ascii="Calibri" w:hAnsi="Calibri" w:eastAsia="Calibri" w:cs="Calibri"/>
        </w:rPr>
        <w:t>Если начальные задачи переходят системам ИИ, организация должна сохранить способы обучения новичков. Иначе краткосрочная экономия может ослабить будущую экспертизу. Практический ответ — включать сотрудников в постановку задач, разбор ошибок и оценку результатов, а не ограничивать их роль механическим подтверждением ответа.</w:t>
      </w:r>
    </w:p>
    <w:p>
      <w:r>
        <w:rPr>
          <w:rFonts w:ascii="Calibri" w:hAnsi="Calibri" w:eastAsia="Calibri" w:cs="Calibri"/>
        </w:rPr>
        <w:t>Для общества критичны доступ к образованию и участие работников в изменении процессов. Для бизнеса — сохранение экспертизы и оценка нагрузки наряду с экономией времени.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05   ВЛИЯНИЕ НА ОБЩЕСТВО</w:t>
      </w:r>
    </w:p>
    <w:p>
      <w:pPr>
        <w:pStyle w:val="Heading1"/>
      </w:pPr>
      <w:r>
        <w:rPr>
          <w:rFonts w:ascii="Cambria" w:hAnsi="Cambria" w:eastAsia="Cambria" w:cs="Cambria"/>
        </w:rPr>
        <w:t>Общественные и технологические риски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Управление риском требует различать уже наблюдаемые проблемы и долгосрочные сценарии с высокой неопределённостью.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685"/>
        <w:gridCol w:w="3798"/>
      </w:tblGrid>
      <w:tr>
        <w:trPr>
          <w:cantSplit/>
          <w:tblHeader/>
        </w:trPr>
        <w:tc>
          <w:tcPr>
            <w:tcW w:type="dxa" w:w="2154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Риск</w:t>
            </w:r>
          </w:p>
        </w:tc>
        <w:tc>
          <w:tcPr>
            <w:tcW w:type="dxa" w:w="3685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Механизм ущерба</w:t>
            </w:r>
          </w:p>
        </w:tc>
        <w:tc>
          <w:tcPr>
            <w:tcW w:type="dxa" w:w="379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Приоритет управления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Ошибочные решения</w:t>
            </w:r>
          </w:p>
        </w:tc>
        <w:tc>
          <w:tcPr>
            <w:tcW w:type="dxa" w:w="368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Убедительный, но неверный ответ или действие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Проверка источников, приёмка, право остановки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Данные и интеллектуальная собственность</w:t>
            </w:r>
          </w:p>
        </w:tc>
        <w:tc>
          <w:tcPr>
            <w:tcW w:type="dxa" w:w="368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Несогласованное раскрытие или использование материалов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Контроль доступа и условий обработки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Манипуляции и мошенничество</w:t>
            </w:r>
          </w:p>
        </w:tc>
        <w:tc>
          <w:tcPr>
            <w:tcW w:type="dxa" w:w="368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Поддельные сообщения, голос, изображения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Подтверждение по независимому каналу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Системная зависимость</w:t>
            </w:r>
          </w:p>
        </w:tc>
        <w:tc>
          <w:tcPr>
            <w:tcW w:type="dxa" w:w="368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Концентрация поставщиков и потеря автономии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Переносимость данных и резервный процесс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Структура основана на NIST AI 600‑1 [25]; меры сформулированы как практические рекомендации отчёта.</w:t>
      </w:r>
    </w:p>
    <w:p>
      <w:pPr>
        <w:pStyle w:val="Heading2"/>
      </w:pPr>
      <w:r>
        <w:rPr>
          <w:rFonts w:ascii="Calibri" w:hAnsi="Calibri" w:eastAsia="Calibri" w:cs="Calibri"/>
        </w:rPr>
        <w:t>Кибербезопасность и биологические злоупотребления</w:t>
      </w:r>
    </w:p>
    <w:p>
      <w:r>
        <w:rPr>
          <w:rFonts w:ascii="Calibri" w:hAnsi="Calibri" w:eastAsia="Calibri" w:cs="Calibri"/>
        </w:rPr>
        <w:t>Рост возможностей помогает защитникам и исследователям, но способен снижать барьеры для опасного применения. Международный доклад 2026 года рассматривает ограничения доступа, испытания и мониторинг как части защиты; их эффективность имеет пределы. [24] В организации полномочия системы должны соответствовать минимально необходимому объёму действий.</w:t>
      </w:r>
    </w:p>
    <w:p>
      <w:pPr>
        <w:pStyle w:val="Heading2"/>
      </w:pPr>
      <w:r>
        <w:rPr>
          <w:rFonts w:ascii="Calibri" w:hAnsi="Calibri" w:eastAsia="Calibri" w:cs="Calibri"/>
        </w:rPr>
        <w:t>Потенциальная потеря контроля</w:t>
      </w:r>
    </w:p>
    <w:p>
      <w:r>
        <w:rPr>
          <w:rFonts w:ascii="Calibri" w:hAnsi="Calibri" w:eastAsia="Calibri" w:cs="Calibri"/>
        </w:rPr>
        <w:t>Доклад описывает сценарии, в которых восстановление контроля становится крайне дорогим или невозможным. На момент его публикации способности систем не оценивались как достаточные для такой потери контроля. Вероятность, сроки и дальнейшее развитие остаются неопределёнными; экспертные оценки существенно различаются. [24] Более поздние релизы требуют собственной проверки и не позволяют автоматически переносить выводы доклада на любую новую систему.</w:t>
      </w:r>
    </w:p>
    <w:p>
      <w:pPr>
        <w:pStyle w:val="Heading2"/>
      </w:pPr>
      <w:r>
        <w:rPr>
          <w:rFonts w:ascii="Calibri" w:hAnsi="Calibri" w:eastAsia="Calibri" w:cs="Calibri"/>
        </w:rPr>
        <w:t>Возможности для человечества</w:t>
      </w:r>
    </w:p>
    <w:p>
      <w:r>
        <w:rPr>
          <w:rFonts w:ascii="Calibri" w:hAnsi="Calibri" w:eastAsia="Calibri" w:cs="Calibri"/>
        </w:rPr>
        <w:t>ИИ может расширять доступ к знаниям, ускорять исследовательские циклы, улучшать доступность интерфейсов и помогать в профессиональной работе. Реализация этих возможностей требует доказанной надёжности в конкретной области. Чем выше последствия ошибки, тем менее достаточна демонстрация убедительного ответа как основания для внедрения.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05   ВЛИЯНИЕ НА ОБЩЕСТВО</w:t>
      </w:r>
    </w:p>
    <w:p>
      <w:pPr>
        <w:pStyle w:val="Heading1"/>
      </w:pPr>
      <w:r>
        <w:rPr>
          <w:rFonts w:ascii="Cambria" w:hAnsi="Cambria" w:eastAsia="Cambria" w:cs="Cambria"/>
        </w:rPr>
        <w:t>Энергия и устойчивость инфраструктуры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Рост вычислительного спроса переводит конкуренцию в физическую инфраструктуру: электроэнергию, сети, площадки и цепочки поставок.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5  Электропотребление центров обработки данных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5688000" cy="2159118"/>
            <wp:docPr id="5" name="Picture 5" descr="Рисунок 5  Электропотребление центров обработки данных. IEA, Key Questions on Energy and AI, 2026 [23]. Все центры обработки данных мира; ИИ составляет часть этого потребления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ower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88000" cy="21591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IEA, Key Questions on Energy and AI, 2026 [23]. Все центры обработки данных мира; ИИ составляет часть этого потребления.</w:t>
      </w:r>
    </w:p>
    <w:p>
      <w:r>
        <w:rPr>
          <w:rFonts w:ascii="Calibri" w:hAnsi="Calibri" w:eastAsia="Calibri" w:cs="Calibri"/>
        </w:rPr>
        <w:t>Обновлённая оценка IEA предполагает рост с 485 ТВт·ч в 2025 году примерно до 950 ТВт·ч в 2030 году. Прогнозная доля составляет около 3% мировой потребности в электроэнергии. [23] Показатель не следует использовать как оценку одних только моделей генеративного ИИ.</w:t>
      </w:r>
    </w:p>
    <w:p>
      <w:pPr>
        <w:pStyle w:val="Heading2"/>
      </w:pPr>
      <w:r>
        <w:rPr>
          <w:rFonts w:ascii="Calibri" w:hAnsi="Calibri" w:eastAsia="Calibri" w:cs="Calibri"/>
        </w:rPr>
        <w:t>Экономическое последствие</w:t>
      </w:r>
    </w:p>
    <w:p>
      <w:r>
        <w:rPr>
          <w:rFonts w:ascii="Calibri" w:hAnsi="Calibri" w:eastAsia="Calibri" w:cs="Calibri"/>
        </w:rPr>
        <w:t>Цена вычислений определяется не только эффективностью чипа. Существенны энергоснабжение, подключение к сети, загрузка и срок эксплуатации оборудования. Повышение эффективности отдельного запроса может сопровождаться ростом общего потребления, если снижение цены расширяет использование.</w:t>
      </w:r>
    </w:p>
    <w:p>
      <w:pPr>
        <w:pStyle w:val="Heading2"/>
      </w:pPr>
      <w:r>
        <w:rPr>
          <w:rFonts w:ascii="Calibri" w:hAnsi="Calibri" w:eastAsia="Calibri" w:cs="Calibri"/>
        </w:rPr>
        <w:t>Устойчивость и география</w:t>
      </w:r>
    </w:p>
    <w:p>
      <w:r>
        <w:rPr>
          <w:rFonts w:ascii="Calibri" w:hAnsi="Calibri" w:eastAsia="Calibri" w:cs="Calibri"/>
        </w:rPr>
        <w:t>Концентрация производства и зависимость от ограниченного числа технологических поставщиков создают риски доступности. Для международного проекта важны совместимость, резервирование и возможность менять поставщика без потери данных. Страна происхождения модели сама по себе не даёт достаточной оценки надёжности всей цепочки.</w:t>
      </w:r>
    </w:p>
    <w:p>
      <w:pPr>
        <w:pStyle w:val="Heading2"/>
      </w:pPr>
      <w:r>
        <w:rPr>
          <w:rFonts w:ascii="Calibri" w:hAnsi="Calibri" w:eastAsia="Calibri" w:cs="Calibri"/>
        </w:rPr>
        <w:t>Критерии корпоративного решения</w:t>
      </w:r>
    </w:p>
    <w:p>
      <w:r>
        <w:rPr>
          <w:rFonts w:ascii="Calibri" w:hAnsi="Calibri" w:eastAsia="Calibri" w:cs="Calibri"/>
        </w:rPr>
        <w:t>Для собственного размещения проверяются доступная мощность, загрузка, обслуживание и возможность обновления. Для облачного сервиса — прозрачность лимитов, работа при дефиците ресурсов и порядок восстановления. Энергоэффективность оценивается на единицу выполненной работы.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06   СТРАТЕГИЧЕСКИЙ ГОРИЗОНТ</w:t>
      </w:r>
    </w:p>
    <w:p>
      <w:pPr>
        <w:pStyle w:val="Heading1"/>
      </w:pPr>
      <w:r>
        <w:rPr>
          <w:rFonts w:ascii="Cambria" w:hAnsi="Cambria" w:eastAsia="Cambria" w:cs="Cambria"/>
        </w:rPr>
        <w:t>Сценарии развития до 2030 года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Сценарии задают условия для решений. Им не присваиваются вероятности, поскольку открытые данные не позволяют обоснованно вычислить их для всей отрасли.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515"/>
        <w:gridCol w:w="3798"/>
      </w:tblGrid>
      <w:tr>
        <w:trPr>
          <w:cantSplit/>
          <w:tblHeader/>
        </w:trPr>
        <w:tc>
          <w:tcPr>
            <w:tcW w:type="dxa" w:w="2324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Сценарий</w:t>
            </w:r>
          </w:p>
        </w:tc>
        <w:tc>
          <w:tcPr>
            <w:tcW w:type="dxa" w:w="3515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Определяющее условие</w:t>
            </w:r>
          </w:p>
        </w:tc>
        <w:tc>
          <w:tcPr>
            <w:tcW w:type="dxa" w:w="379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Рыночное следствие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Управляемое распространение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Качество, обучение и контроль развиваются сопоставимыми темпами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Расширение применения с постепенной перестройкой процессов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Концентрация платформ</w:t>
            </w:r>
          </w:p>
        </w:tc>
        <w:tc>
          <w:tcPr>
            <w:tcW w:type="dxa" w:w="351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Доступ к клиенту и вычислениям важнее переносимости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Усиление экосистем и стоимости переключения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Быстрая автоматизация</w:t>
            </w:r>
          </w:p>
        </w:tc>
        <w:tc>
          <w:tcPr>
            <w:tcW w:type="dxa" w:w="351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Системы устойчиво выполняют больше задач без вмешательства</w:t>
            </w:r>
          </w:p>
        </w:tc>
        <w:tc>
          <w:tcPr>
            <w:tcW w:type="dxa" w:w="379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Ускоренное изменение ролей, затрат и спроса на контроль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Фрагментация и замедление</w:t>
            </w:r>
          </w:p>
        </w:tc>
        <w:tc>
          <w:tcPr>
            <w:tcW w:type="dxa" w:w="351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Инциденты, ресурсные ограничения или слабая окупаемость</w:t>
            </w:r>
          </w:p>
        </w:tc>
        <w:tc>
          <w:tcPr>
            <w:tcW w:type="dxa" w:w="379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Избирательное внедрение и расхождение региональных рынков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Авторские сценарии. Они могут частично сочетаться в разных отраслях и странах.</w:t>
      </w:r>
    </w:p>
    <w:p>
      <w:pPr>
        <w:pStyle w:val="Heading2"/>
      </w:pPr>
      <w:r>
        <w:rPr>
          <w:rFonts w:ascii="Calibri" w:hAnsi="Calibri" w:eastAsia="Calibri" w:cs="Calibri"/>
        </w:rPr>
        <w:t>Опережающие сигналы</w:t>
      </w:r>
    </w:p>
    <w:p>
      <w:r>
        <w:rPr>
          <w:rFonts w:ascii="Calibri" w:hAnsi="Calibri" w:eastAsia="Calibri" w:cs="Calibri"/>
        </w:rPr>
        <w:t>На уровне технологии — доля успешно завершённых многошаговых задач при фиксированном бюджете и правах. На уровне бизнеса — стоимость принятого результата, использование сотрудниками и повторная покупка. На уровне инфраструктуры — доступность мощностей, энергоснабжение и изменение условий сервиса.</w:t>
      </w:r>
    </w:p>
    <w:p>
      <w:pPr>
        <w:pStyle w:val="Heading2"/>
      </w:pPr>
      <w:r>
        <w:rPr>
          <w:rFonts w:ascii="Calibri" w:hAnsi="Calibri" w:eastAsia="Calibri" w:cs="Calibri"/>
        </w:rPr>
        <w:t>Решения устойчивые в нескольких сценариях</w:t>
      </w:r>
    </w:p>
    <w:p>
      <w:r>
        <w:rPr>
          <w:rFonts w:ascii="Calibri" w:hAnsi="Calibri" w:eastAsia="Calibri" w:cs="Calibri"/>
        </w:rPr>
        <w:t>Сохранять переносимость данных и документировать логику процесса; обучать сотрудников оценке качества; ограничивать необратимые действия; расширять инвестиции после подтверждения результата. Эти меры полезны как при ускорении возможностей, так и при замедлении рынка.</w:t>
      </w:r>
    </w:p>
    <w:p>
      <w:pPr>
        <w:pStyle w:val="Heading2"/>
      </w:pPr>
      <w:r>
        <w:rPr>
          <w:rFonts w:ascii="Calibri" w:hAnsi="Calibri" w:eastAsia="Calibri" w:cs="Calibri"/>
        </w:rPr>
        <w:t>Где допустима ставка на один сценарий</w:t>
      </w:r>
    </w:p>
    <w:p>
      <w:r>
        <w:rPr>
          <w:rFonts w:ascii="Calibri" w:hAnsi="Calibri" w:eastAsia="Calibri" w:cs="Calibri"/>
        </w:rPr>
        <w:t>Крупные инфраструктурные вложения, собственная модель и глубокая зависимость от одной платформы требуют отдельного обоснования. В решении следует явно указать, какие допущения о нагрузке, цене и доступности должны сохраняться, чтобы инвестиция оставалась экономически оправданной.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07   ИНВЕСТИЦИОННАЯ МОДЕЛЬ</w:t>
      </w:r>
    </w:p>
    <w:p>
      <w:pPr>
        <w:pStyle w:val="Heading1"/>
      </w:pPr>
      <w:r>
        <w:rPr>
          <w:rFonts w:ascii="Cambria" w:hAnsi="Cambria" w:eastAsia="Cambria" w:cs="Cambria"/>
        </w:rPr>
        <w:t>Чувствительность экономики внедрения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Модель показывает, как результат зависит от экономии времени и доли этой экономии, которую компания превращает в полезный выпуск или снижение расходов.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6  Эффект первого года при разных предпосылках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5616000" cy="4066196"/>
            <wp:docPr id="6" name="Picture 6" descr="Рисунок 6  Эффект первого года при разных предпосылках. Авторский сценарный расчёт, млн рублей. Это не рыночный прогноз. Учтён постепенный выход на рабочую нагрузку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urface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6000" cy="40661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Авторский сценарный расчёт, млн рублей. Это не рыночный прогноз. Учтён постепенный выход на рабочую нагрузку.</w:t>
      </w:r>
    </w:p>
    <w:p>
      <w:r>
        <w:rPr>
          <w:rFonts w:ascii="Calibri" w:hAnsi="Calibri" w:eastAsia="Calibri" w:cs="Calibri"/>
        </w:rPr>
        <w:t>Параметры: 20 сотрудников; стоимость часа 1 500 ₽; запуск 600 тыс. ₽; эксплуатация 120 тыс. ₽ в месяц. Реализация нагрузки в первые три месяца — 25%, 50% и 75%, затем 100%. Налоги, инфляция и дисконтирование не учитываются.</w:t>
      </w:r>
    </w:p>
    <w:p>
      <w:r>
        <w:rPr>
          <w:rFonts w:ascii="Calibri" w:hAnsi="Calibri" w:eastAsia="Calibri" w:cs="Calibri"/>
        </w:rPr>
        <w:t>В базовом варианте экономия составляет 12 часов на человека в месяц, полезная реализация — 70%. Эффект первого года равен 606 тыс. ₽. Накопленный результат становится положительным в восьмом месяце; линейная оценка экономической окупаемости — около 7,4 месяца. Это денежная оценка эффекта, а не прогноз движения денежных средств.</w:t>
      </w:r>
    </w:p>
    <w:p>
      <w:r>
        <w:rPr>
          <w:rFonts w:ascii="Calibri" w:hAnsi="Calibri" w:eastAsia="Calibri" w:cs="Calibri"/>
        </w:rPr>
        <w:t>Безубыточность первого года требует произведения сэкономленных часов на полезную долю не менее 6,48. При 70% реализации это около 9,25 часа на сотрудника в месяц. Порог меняется вместе с расходами и скоростью внедрения.</w:t>
      </w:r>
    </w:p>
    <w:p>
      <w:hyperlink r:id="rId17">
        <w:r>
          <w:rPr>
            <w:rFonts w:ascii="Calibri" w:hAnsi="Calibri" w:cs="Calibri"/>
            <w:color w:val="163F60"/>
            <w:sz w:val="21"/>
          </w:rPr>
          <w:t>Открыть интерактивную 3D модель и анимацию</w:t>
        </w:r>
      </w:hyperlink>
    </w:p>
    <w:p>
      <w:pPr>
        <w:pStyle w:val="Caption"/>
      </w:pPr>
      <w:r>
        <w:rPr>
          <w:rFonts w:ascii="Calibri" w:hAnsi="Calibri" w:eastAsia="Calibri" w:cs="Calibri"/>
        </w:rPr>
        <w:t>Word содержит печатную версию. Интерактивное приложение работает в браузере без интернета. Его файл следует хранить в одной папке с документом.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07   ИНВЕСТИЦИОННАЯ МОДЕЛЬ</w:t>
      </w:r>
    </w:p>
    <w:p>
      <w:pPr>
        <w:pStyle w:val="Heading1"/>
      </w:pPr>
      <w:r>
        <w:rPr>
          <w:rFonts w:ascii="Cambria" w:hAnsi="Cambria" w:eastAsia="Cambria" w:cs="Cambria"/>
        </w:rPr>
        <w:t>Экономический результат и риск реализации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7  Накопленный эффект по сценариям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5940000" cy="2319429"/>
            <wp:docPr id="7" name="Picture 7" descr="Рисунок 7  Накопленный эффект по сценариям. Консервативный: 6 часов и 40% реализации; базовый: 12 часов и 70%; высокая реализация: 18 часов и 90%. Остальные параметры — на стр. 20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sh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194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Консервативный: 6 часов и 40% реализации; базовый: 12 часов и 70%; высокая реализация: 18 часов и 90%. Остальные параметры — на стр. 20.</w:t>
      </w:r>
    </w:p>
    <w:p>
      <w:pPr>
        <w:keepNext/>
        <w:spacing w:before="160" w:after="80"/>
      </w:pPr>
      <w:r>
        <w:rPr>
          <w:rFonts w:ascii="Calibri" w:hAnsi="Calibri" w:eastAsia="Calibri" w:cs="Calibri"/>
          <w:b/>
          <w:sz w:val="22"/>
        </w:rPr>
        <w:t>Рисунок 8  Формирование результата базового сценария</w:t>
      </w:r>
    </w:p>
    <w:p>
      <w:pPr>
        <w:keepNext/>
        <w:spacing w:after="60"/>
      </w:pPr>
      <w:r>
        <w:rPr>
          <w:rFonts w:ascii="Calibri" w:hAnsi="Calibri" w:eastAsia="Calibri" w:cs="Calibri"/>
        </w:rPr>
        <w:drawing>
          <wp:inline xmlns:a="http://schemas.openxmlformats.org/drawingml/2006/main" xmlns:pic="http://schemas.openxmlformats.org/drawingml/2006/picture">
            <wp:extent cx="5940000" cy="1802204"/>
            <wp:docPr id="8" name="Picture 8" descr="Рисунок 8  Формирование результата базового сценария. Первый год: валовой эффект 2,646 млн ₽ минус эксплуатация 1,44 млн ₽ и запуск 0,6 млн ₽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idg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180220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rPr>
          <w:rFonts w:ascii="Calibri" w:hAnsi="Calibri" w:eastAsia="Calibri" w:cs="Calibri"/>
        </w:rPr>
        <w:t>Первый год: валовой эффект 2,646 млн ₽ минус эксплуатация 1,44 млн ₽ и запуск 0,6 млн ₽.</w:t>
      </w:r>
    </w:p>
    <w:p>
      <w:pPr>
        <w:pStyle w:val="Heading2"/>
      </w:pPr>
      <w:r>
        <w:rPr>
          <w:rFonts w:ascii="Calibri" w:hAnsi="Calibri" w:eastAsia="Calibri" w:cs="Calibri"/>
        </w:rPr>
        <w:t>Что модель позволяет решить</w:t>
      </w:r>
    </w:p>
    <w:p>
      <w:r>
        <w:rPr>
          <w:rFonts w:ascii="Calibri" w:hAnsi="Calibri" w:eastAsia="Calibri" w:cs="Calibri"/>
        </w:rPr>
        <w:t>Сценарии дают диапазон от −1,284 млн до +3,063 млн ₽ за год. Разброс показывает, почему полезная реализация экономии важнее самого факта использования ИИ. Модель помогает определить порог, который пилот должен подтвердить до расширения.</w:t>
      </w:r>
    </w:p>
    <w:p>
      <w:pPr>
        <w:pStyle w:val="Heading2"/>
      </w:pPr>
      <w:r>
        <w:rPr>
          <w:rFonts w:ascii="Calibri" w:hAnsi="Calibri" w:eastAsia="Calibri" w:cs="Calibri"/>
        </w:rPr>
        <w:t>Что должно подтверждаться в процессе</w:t>
      </w:r>
    </w:p>
    <w:p>
      <w:r>
        <w:rPr>
          <w:rFonts w:ascii="Calibri" w:hAnsi="Calibri" w:eastAsia="Calibri" w:cs="Calibri"/>
        </w:rPr>
        <w:t>Экономия измеряется после проверки и исправлений. Дополнительная выручка и экономия одних и тех же часов не учитываются дважды. Эксплуатационные расходы включают не только модель, но и сопровождение. Если полезный выпуск не растёт и расходы не снижаются, освобождённое время не следует автоматически относить к денежной выгоде.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08   ВНЕДРЕНИЕ И УПРАВЛЕНИЕ</w:t>
      </w:r>
    </w:p>
    <w:p>
      <w:pPr>
        <w:pStyle w:val="Heading1"/>
      </w:pPr>
      <w:r>
        <w:rPr>
          <w:rFonts w:ascii="Cambria" w:hAnsi="Cambria" w:eastAsia="Cambria" w:cs="Cambria"/>
        </w:rPr>
        <w:t>Программа действий для руководства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Цель первых 90 дней — получить воспроизводимое доказательство качества и экономики, а также подготовить управляемое расширение.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31"/>
        <w:gridCol w:w="4706"/>
        <w:gridCol w:w="3402"/>
      </w:tblGrid>
      <w:tr>
        <w:trPr>
          <w:cantSplit/>
          <w:tblHeader/>
        </w:trPr>
        <w:tc>
          <w:tcPr>
            <w:tcW w:type="dxa" w:w="1531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Этап</w:t>
            </w:r>
          </w:p>
        </w:tc>
        <w:tc>
          <w:tcPr>
            <w:tcW w:type="dxa" w:w="4706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Решение и работа</w:t>
            </w:r>
          </w:p>
        </w:tc>
        <w:tc>
          <w:tcPr>
            <w:tcW w:type="dxa" w:w="340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Критерий перехода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Дни 1–15</w:t>
            </w:r>
          </w:p>
        </w:tc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Выбрать процессы; определить владельца, базовую стоимость, качество и требования к данным</w:t>
            </w:r>
          </w:p>
        </w:tc>
        <w:tc>
          <w:tcPr>
            <w:tcW w:type="dxa" w:w="340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Согласованная приёмка и доступные примеры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Дни 16–40</w:t>
            </w:r>
          </w:p>
        </w:tc>
        <w:tc>
          <w:tcPr>
            <w:tcW w:type="dxa" w:w="4706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Сравнить несколько моделей при одинаковом бюджете и действующих защитах</w:t>
            </w:r>
          </w:p>
        </w:tc>
        <w:tc>
          <w:tcPr>
            <w:tcW w:type="dxa" w:w="340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Качество подтверждено, расходы измерены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Дни 41–65</w:t>
            </w:r>
          </w:p>
        </w:tc>
        <w:tc>
          <w:tcPr>
            <w:tcW w:type="dxa" w:w="4706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Встроить решение в ограниченный процесс; обучить команду, настроить журнал и остановку</w:t>
            </w:r>
          </w:p>
        </w:tc>
        <w:tc>
          <w:tcPr>
            <w:tcW w:type="dxa" w:w="340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Процесс устойчив, ошибки разбираются</w:t>
            </w:r>
          </w:p>
        </w:tc>
      </w:tr>
      <w:tr>
        <w:trPr>
          <w:cantSplit/>
        </w:trPr>
        <w:tc>
          <w:tcPr>
            <w:tcW w:type="dxa" w:w="1531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Дни 66–90</w:t>
            </w:r>
          </w:p>
        </w:tc>
        <w:tc>
          <w:tcPr>
            <w:tcW w:type="dxa" w:w="4706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Проверить итоговую экономику; расширить, скорректировать или остановить проект</w:t>
            </w:r>
          </w:p>
        </w:tc>
        <w:tc>
          <w:tcPr>
            <w:tcW w:type="dxa" w:w="340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Решение основано на фактическом результате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Calibri" w:hAnsi="Calibri" w:eastAsia="Calibri" w:cs="Calibri"/>
        </w:rPr>
        <w:t>Распределение ответственности</w:t>
      </w:r>
    </w:p>
    <w:p>
      <w:r>
        <w:rPr>
          <w:rFonts w:ascii="Calibri" w:hAnsi="Calibri" w:eastAsia="Calibri" w:cs="Calibri"/>
        </w:rPr>
        <w:t>Владелец бизнес-процесса отвечает за результат и приёмку. Финансовая функция проверяет механизм эффекта и исключает двойной счёт. Технологическая команда отвечает за интеграцию, версии и восстановление. Специалисты по данным и безопасности согласуют доступ и обработку информации. Пользователи получают понятный порядок проверки и эскалации.</w:t>
      </w:r>
    </w:p>
    <w:p>
      <w:pPr>
        <w:pStyle w:val="Heading2"/>
      </w:pPr>
      <w:r>
        <w:rPr>
          <w:rFonts w:ascii="Calibri" w:hAnsi="Calibri" w:eastAsia="Calibri" w:cs="Calibri"/>
        </w:rPr>
        <w:t>Показатели для регулярного рассмотрения</w:t>
      </w:r>
    </w:p>
    <w:p>
      <w:r>
        <w:rPr>
          <w:rFonts w:ascii="Calibri" w:hAnsi="Calibri" w:eastAsia="Calibri" w:cs="Calibri"/>
        </w:rPr>
        <w:t>Стоимость принятой задачи; доля результатов без существенной доработки; время специалиста; серьёзные инциденты; доля сотрудников, использующих решение; подтверждённый вклад в выпуск или расходы. Показатели рассматриваются вместе: снижение цены при ухудшении качества не считается успехом.</w:t>
      </w:r>
    </w:p>
    <w:p>
      <w:pPr>
        <w:pStyle w:val="Heading2"/>
      </w:pPr>
      <w:r>
        <w:rPr>
          <w:rFonts w:ascii="Calibri" w:hAnsi="Calibri" w:eastAsia="Calibri" w:cs="Calibri"/>
        </w:rPr>
        <w:t>Условия повторной оценки</w:t>
      </w:r>
    </w:p>
    <w:p>
      <w:r>
        <w:rPr>
          <w:rFonts w:ascii="Calibri" w:hAnsi="Calibri" w:eastAsia="Calibri" w:cs="Calibri"/>
        </w:rPr>
        <w:t>Существенное изменение модели, тарифа, объёма данных или полномочий требует повторной проверки. Для критичного процесса нужен резервный способ работы. Решение о расширении должно учитывать не только среднюю выгоду, но и последствия редкой серьёзной ошибки.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08   ВНЕДРЕНИЕ И УПРАВЛЕНИЕ</w:t>
      </w:r>
    </w:p>
    <w:p>
      <w:pPr>
        <w:pStyle w:val="Heading1"/>
      </w:pPr>
      <w:r>
        <w:rPr>
          <w:rFonts w:ascii="Cambria" w:hAnsi="Cambria" w:eastAsia="Cambria" w:cs="Cambria"/>
        </w:rPr>
        <w:t>Конкурентная стратегия интегратора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Устойчивое предложение строится вокруг отраслевого процесса, который интегратор умеет внедрять и сопровождать. Доступ к распространённой модели легко воспроизводится конкурентами.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154"/>
        <w:gridCol w:w="3742"/>
        <w:gridCol w:w="3742"/>
      </w:tblGrid>
      <w:tr>
        <w:trPr>
          <w:cantSplit/>
          <w:tblHeader/>
        </w:trPr>
        <w:tc>
          <w:tcPr>
            <w:tcW w:type="dxa" w:w="2154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Сегмент спроса</w:t>
            </w:r>
          </w:p>
        </w:tc>
        <w:tc>
          <w:tcPr>
            <w:tcW w:type="dxa" w:w="374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Что покупает заказчик</w:t>
            </w:r>
          </w:p>
        </w:tc>
        <w:tc>
          <w:tcPr>
            <w:tcW w:type="dxa" w:w="374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Основание для повторной продажи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Документы и знания</w:t>
            </w:r>
          </w:p>
        </w:tc>
        <w:tc>
          <w:tcPr>
            <w:tcW w:type="dxa" w:w="374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Меньше ручного поиска и переноса данных при сохранении точности</w:t>
            </w:r>
          </w:p>
        </w:tc>
        <w:tc>
          <w:tcPr>
            <w:tcW w:type="dxa" w:w="374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Новые типы документов, источники и контроль качества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Обращения и продажи</w:t>
            </w:r>
          </w:p>
        </w:tc>
        <w:tc>
          <w:tcPr>
            <w:tcW w:type="dxa" w:w="374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Сокращение цикла обработки без потери заявок и условий</w:t>
            </w:r>
          </w:p>
        </w:tc>
        <w:tc>
          <w:tcPr>
            <w:tcW w:type="dxa" w:w="374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Новые каналы, сценарии и улучшение показателей процесса</w:t>
            </w:r>
          </w:p>
        </w:tc>
      </w:tr>
      <w:tr>
        <w:trPr>
          <w:cantSplit/>
        </w:trPr>
        <w:tc>
          <w:tcPr>
            <w:tcW w:type="dxa" w:w="215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Промышленная аналитика</w:t>
            </w:r>
          </w:p>
        </w:tc>
        <w:tc>
          <w:tcPr>
            <w:tcW w:type="dxa" w:w="374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Работа с данными объекта при заданных ограничениях эксплуатации</w:t>
            </w:r>
          </w:p>
        </w:tc>
        <w:tc>
          <w:tcPr>
            <w:tcW w:type="dxa" w:w="374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Сопровождение, обновления и расширение на другие объекты</w:t>
            </w:r>
          </w:p>
        </w:tc>
      </w:tr>
    </w:tbl>
    <w:p>
      <w:pPr>
        <w:spacing w:after="0"/>
      </w:pPr>
    </w:p>
    <w:p>
      <w:pPr>
        <w:pStyle w:val="Caption"/>
      </w:pPr>
      <w:r>
        <w:rPr>
          <w:rFonts w:ascii="Calibri" w:hAnsi="Calibri" w:eastAsia="Calibri" w:cs="Calibri"/>
        </w:rPr>
        <w:t>Авторская сегментация возможностей. Она не является оценкой размера рынков или подтверждением реализованных проектов ЯСНОКОР.</w:t>
      </w:r>
    </w:p>
    <w:p>
      <w:pPr>
        <w:pStyle w:val="Heading2"/>
      </w:pPr>
      <w:r>
        <w:rPr>
          <w:rFonts w:ascii="Calibri" w:hAnsi="Calibri" w:eastAsia="Calibri" w:cs="Calibri"/>
        </w:rPr>
        <w:t>Ценообразование должно отражать состав ответственности</w:t>
      </w:r>
    </w:p>
    <w:p>
      <w:r>
        <w:rPr>
          <w:rFonts w:ascii="Calibri" w:hAnsi="Calibri" w:eastAsia="Calibri" w:cs="Calibri"/>
        </w:rPr>
        <w:t>Обследование и пилот имеют фиксированный объём работ и критерии приёмки. Во внедрении отдельно оцениваются интеграции, подготовка данных и обучение. Сопровождение покрывает мониторинг, обновления и согласованный объём изменений. Такое разделение позволяет видеть маржу проекта и не оплачивать постоянную поддержку из разовой выручки.</w:t>
      </w:r>
    </w:p>
    <w:p>
      <w:r>
        <w:rPr>
          <w:rFonts w:ascii="Calibri" w:hAnsi="Calibri" w:eastAsia="Calibri" w:cs="Calibri"/>
        </w:rPr>
        <w:t>Оплата за результат уместна, когда показатель проверяем и интегратор влияет на него. При зависимости продаж от цены, ассортимента и рекламного бюджета обещание процента прироста создаёт риск спора. В этом случае разумнее фиксировать результат управляемого этапа, например принятый документ или обработанное обращение.</w:t>
      </w:r>
    </w:p>
    <w:p>
      <w:pPr>
        <w:pStyle w:val="Heading2"/>
      </w:pPr>
      <w:r>
        <w:rPr>
          <w:rFonts w:ascii="Calibri" w:hAnsi="Calibri" w:eastAsia="Calibri" w:cs="Calibri"/>
        </w:rPr>
        <w:t>Источники конкурентной защиты</w:t>
      </w:r>
    </w:p>
    <w:p>
      <w:r>
        <w:rPr>
          <w:rFonts w:ascii="Calibri" w:hAnsi="Calibri" w:eastAsia="Calibri" w:cs="Calibri"/>
        </w:rPr>
        <w:t>Повторно используемые интеграции, проверочные примеры и знание отраслевых исключений сокращают трудоёмкость следующих внедрений. Их ценность измеряется сроками, качеством и стоимостью сопровождения. Клиентские данные используются в пределах согласованных прав; конфиденциальная информация не переносится между заказчиками.</w:t>
      </w:r>
    </w:p>
    <w:p>
      <w:pPr>
        <w:pStyle w:val="Heading2"/>
      </w:pPr>
      <w:r>
        <w:rPr>
          <w:rFonts w:ascii="Calibri" w:hAnsi="Calibri" w:eastAsia="Calibri" w:cs="Calibri"/>
        </w:rPr>
        <w:t>Приоритет для ЯСНОКОР</w:t>
      </w:r>
    </w:p>
    <w:p>
      <w:r>
        <w:rPr>
          <w:rFonts w:ascii="Calibri" w:hAnsi="Calibri" w:eastAsia="Calibri" w:cs="Calibri"/>
        </w:rPr>
        <w:t>Выбрать несколько повторяемых процессов, подготовить демонстрации на обезличенных данных и критерии приёмки. Расширять линейку по марже внедрения, повторному спросу и нагрузке поддержки. Это рекомендация отчёта; текущие финансовые результаты компании не оценивались.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08   ВНЕДРЕНИЕ И УПРАВЛЕНИЕ</w:t>
      </w:r>
    </w:p>
    <w:p>
      <w:pPr>
        <w:pStyle w:val="Heading1"/>
      </w:pPr>
      <w:r>
        <w:rPr>
          <w:rFonts w:ascii="Cambria" w:hAnsi="Cambria" w:eastAsia="Cambria" w:cs="Cambria"/>
        </w:rPr>
        <w:t>Как подтвердить экономический эффект</w:t>
      </w:r>
    </w:p>
    <w:p>
      <w:pPr>
        <w:spacing w:after="240"/>
      </w:pPr>
      <w:r>
        <w:rPr>
          <w:rFonts w:ascii="Calibri" w:hAnsi="Calibri" w:eastAsia="Calibri" w:cs="Calibri"/>
          <w:sz w:val="26"/>
        </w:rPr>
        <w:t>Результат пилота пригоден для инвестиционного решения, если известны исходный процесс, полные расходы, качество и способ реализации высвобождённого времени.</w:t>
      </w:r>
    </w:p>
    <w:p>
      <w:pPr>
        <w:pStyle w:val="Heading2"/>
      </w:pPr>
      <w:r>
        <w:rPr>
          <w:rFonts w:ascii="Calibri" w:hAnsi="Calibri" w:eastAsia="Calibri" w:cs="Calibri"/>
        </w:rPr>
        <w:t>Сравнение на одних и тех же задачах</w:t>
      </w:r>
    </w:p>
    <w:p>
      <w:r>
        <w:rPr>
          <w:rFonts w:ascii="Calibri" w:hAnsi="Calibri" w:eastAsia="Calibri" w:cs="Calibri"/>
        </w:rPr>
        <w:t>Выделить типовые и сложные случаи из реального потока, затем сравнить действующий процесс и вариант с ИИ на сопоставимой выборке. Критерии приёмки устанавливаются до испытания. Исполнитель проверки по возможности не должен знать, каким способом получен результат. Отдельно учитывать исключения, повторные попытки и незавершённые задачи.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268"/>
        <w:gridCol w:w="3969"/>
        <w:gridCol w:w="3402"/>
      </w:tblGrid>
      <w:tr>
        <w:trPr>
          <w:cantSplit/>
          <w:tblHeader/>
        </w:trPr>
        <w:tc>
          <w:tcPr>
            <w:tcW w:type="dxa" w:w="226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Показатель</w:t>
            </w:r>
          </w:p>
        </w:tc>
        <w:tc>
          <w:tcPr>
            <w:tcW w:type="dxa" w:w="3969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Как рассчитывать</w:t>
            </w:r>
          </w:p>
        </w:tc>
        <w:tc>
          <w:tcPr>
            <w:tcW w:type="dxa" w:w="3402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Что может исказить вывод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Стоимость принятой задачи</w:t>
            </w:r>
          </w:p>
        </w:tc>
        <w:tc>
          <w:tcPr>
            <w:tcW w:type="dxa" w:w="3969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Все расходы испытания, включая неудачи и проверку, разделить на число принятых результатов</w:t>
            </w:r>
          </w:p>
        </w:tc>
        <w:tc>
          <w:tcPr>
            <w:tcW w:type="dxa" w:w="340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Исключение трудных случаев или времени специалиста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Экономия времени</w:t>
            </w:r>
          </w:p>
        </w:tc>
        <w:tc>
          <w:tcPr>
            <w:tcW w:type="dxa" w:w="3969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Разница трудозатрат при одинаковом качестве, включая исправления</w:t>
            </w:r>
          </w:p>
        </w:tc>
        <w:tc>
          <w:tcPr>
            <w:tcW w:type="dxa" w:w="340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Перенос работы на другой отдел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Дополнительная прибыль</w:t>
            </w:r>
          </w:p>
        </w:tc>
        <w:tc>
          <w:tcPr>
            <w:tcW w:type="dxa" w:w="3969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Прирост валовой прибыли за вычетом расходов внедрения и эксплуатации</w:t>
            </w:r>
          </w:p>
        </w:tc>
        <w:tc>
          <w:tcPr>
            <w:tcW w:type="dxa" w:w="3402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Приписывание ИИ влияния цены, сезона или бюджета</w:t>
            </w:r>
          </w:p>
        </w:tc>
      </w:tr>
      <w:tr>
        <w:trPr>
          <w:cantSplit/>
        </w:trPr>
        <w:tc>
          <w:tcPr>
            <w:tcW w:type="dxa" w:w="226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Реализация экономии</w:t>
            </w:r>
          </w:p>
        </w:tc>
        <w:tc>
          <w:tcPr>
            <w:tcW w:type="dxa" w:w="3969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Подтверждённый дополнительный выпуск или сокращённые расходы</w:t>
            </w:r>
          </w:p>
        </w:tc>
        <w:tc>
          <w:tcPr>
            <w:tcW w:type="dxa" w:w="3402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Оценка всех свободных часов как денежных поступлений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Calibri" w:hAnsi="Calibri" w:eastAsia="Calibri" w:cs="Calibri"/>
        </w:rPr>
        <w:t>Иллюстрация ошибки выбора по тарифу</w:t>
      </w:r>
    </w:p>
    <w:p>
      <w:r>
        <w:rPr>
          <w:rFonts w:ascii="Calibri" w:hAnsi="Calibri" w:eastAsia="Calibri" w:cs="Calibri"/>
        </w:rPr>
        <w:t>Условный вариант А обрабатывает 100 задач за 10 000 ₽ с учётом проверки, из них принято 80. Стоимость принятой задачи — 125 ₽. Вариант Б стоит 13 000 ₽ и даёт 95 принятых результатов: около 137 ₽ за задачу. Б дороже, но завершает больше работ; выбор зависит от ценности дополнительных 15 результатов и последствий отказа. Эти числа служат примером, а не тестом конкретных моделей.</w:t>
      </w:r>
    </w:p>
    <w:p>
      <w:pPr>
        <w:pStyle w:val="Heading2"/>
      </w:pPr>
      <w:r>
        <w:rPr>
          <w:rFonts w:ascii="Calibri" w:hAnsi="Calibri" w:eastAsia="Calibri" w:cs="Calibri"/>
        </w:rPr>
        <w:t>Основание для расширения бюджета</w:t>
      </w:r>
    </w:p>
    <w:p>
      <w:r>
        <w:rPr>
          <w:rFonts w:ascii="Calibri" w:hAnsi="Calibri" w:eastAsia="Calibri" w:cs="Calibri"/>
        </w:rPr>
        <w:t>Расширять внедрение следует после подтверждения заранее согласованного уровня качества и положительной экономики при реалистичной нагрузке. Если результат зависит от нескольких удачных примеров или исчезает после включения проверки, сначала корректируется процесс. Протокол решения должен содержать ограничения выборки, диапазон результата и условия повторного испытания.</w:t>
      </w:r>
    </w:p>
    <w:p>
      <w:pPr>
        <w:pStyle w:val="Caption"/>
      </w:pPr>
      <w:r>
        <w:rPr>
          <w:rFonts w:ascii="Calibri" w:hAnsi="Calibri" w:eastAsia="Calibri" w:cs="Calibri"/>
        </w:rPr>
        <w:t>Методические рекомендации и числовая иллюстрация являются авторскими. Универсальный размер выборки и единый порог окупаемости не задаются: они зависят от потока задач и последствий ошибки.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09   ДОКАЗАТЕЛЬНАЯ БАЗА</w:t>
      </w:r>
    </w:p>
    <w:p>
      <w:pPr>
        <w:pStyle w:val="Heading1"/>
      </w:pPr>
      <w:r>
        <w:rPr>
          <w:rFonts w:ascii="Cambria" w:hAnsi="Cambria" w:eastAsia="Cambria" w:cs="Cambria"/>
        </w:rPr>
        <w:t>Методика и ограничения анализа</w:t>
      </w:r>
    </w:p>
    <w:p>
      <w:pPr>
        <w:pStyle w:val="Heading2"/>
      </w:pPr>
      <w:r>
        <w:rPr>
          <w:rFonts w:ascii="Calibri" w:hAnsi="Calibri" w:eastAsia="Calibri" w:cs="Calibri"/>
        </w:rPr>
        <w:t>Объект и выборка</w:t>
      </w:r>
    </w:p>
    <w:p>
      <w:r>
        <w:rPr>
          <w:rFonts w:ascii="Calibri" w:hAnsi="Calibri" w:eastAsia="Calibri" w:cs="Calibri"/>
        </w:rPr>
        <w:t>Включены 11 разработчиков универсальных и мультимодальных моделей и три значимых поставщика корпоративной среды и инфраструктуры из США и Китая. Выборка целевая: она отражает разные коммерческие модели, а не полный список компаний и не рейтинг капитализации. Срез продуктов и тарифов — 5 сентября 2026 года.</w:t>
      </w:r>
    </w:p>
    <w:p>
      <w:pPr>
        <w:pStyle w:val="Heading2"/>
      </w:pPr>
      <w:r>
        <w:rPr>
          <w:rFonts w:ascii="Calibri" w:hAnsi="Calibri" w:eastAsia="Calibri" w:cs="Calibri"/>
        </w:rPr>
        <w:t>Иерархия доказательств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24"/>
        <w:gridCol w:w="3288"/>
        <w:gridCol w:w="4025"/>
      </w:tblGrid>
      <w:tr>
        <w:trPr>
          <w:cantSplit/>
          <w:tblHeader/>
        </w:trPr>
        <w:tc>
          <w:tcPr>
            <w:tcW w:type="dxa" w:w="2324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Тип сведений</w:t>
            </w:r>
          </w:p>
        </w:tc>
        <w:tc>
          <w:tcPr>
            <w:tcW w:type="dxa" w:w="3288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Основание</w:t>
            </w:r>
          </w:p>
        </w:tc>
        <w:tc>
          <w:tcPr>
            <w:tcW w:type="dxa" w:w="4025"/>
            <w:vAlign w:val="center"/>
            <w:shd w:fill="173F5B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b/>
                <w:color w:val="FFFFFF"/>
                <w:sz w:val="21"/>
              </w:rPr>
              <w:t>Граница вывода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Продукты и ограничения</w:t>
            </w:r>
          </w:p>
        </w:tc>
        <w:tc>
          <w:tcPr>
            <w:tcW w:type="dxa" w:w="328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Документация, релизы и карточки моделей</w:t>
            </w:r>
          </w:p>
        </w:tc>
        <w:tc>
          <w:tcPr>
            <w:tcW w:type="dxa" w:w="402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Подтверждают заявленные свойства, но не независимое лидерство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Инвестиции и занятость</w:t>
            </w:r>
          </w:p>
        </w:tc>
        <w:tc>
          <w:tcPr>
            <w:tcW w:type="dxa" w:w="328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Stanford HAI, ILO–NASK</w:t>
            </w:r>
          </w:p>
        </w:tc>
        <w:tc>
          <w:tcPr>
            <w:tcW w:type="dxa" w:w="402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Различаются периоды, определения и полнота учёта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Корпоративное внедрение</w:t>
            </w:r>
          </w:p>
        </w:tc>
        <w:tc>
          <w:tcPr>
            <w:tcW w:type="dxa" w:w="328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Опрос McKinsey 2026</w:t>
            </w:r>
          </w:p>
        </w:tc>
        <w:tc>
          <w:tcPr>
            <w:tcW w:type="dxa" w:w="402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Самооценки; не универсальная причинная оценка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Энергия и безопасность</w:t>
            </w:r>
          </w:p>
        </w:tc>
        <w:tc>
          <w:tcPr>
            <w:tcW w:type="dxa" w:w="3288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IEA, международный доклад, NIST</w:t>
            </w:r>
          </w:p>
        </w:tc>
        <w:tc>
          <w:tcPr>
            <w:tcW w:type="dxa" w:w="4025"/>
            <w:vAlign w:val="center"/>
            <w:shd w:fill="F0F4F6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Прогнозные и нормативные рамки имеют ограничения</w:t>
            </w:r>
          </w:p>
        </w:tc>
      </w:tr>
      <w:tr>
        <w:trPr>
          <w:cantSplit/>
        </w:trPr>
        <w:tc>
          <w:tcPr>
            <w:tcW w:type="dxa" w:w="2324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Стратегия и экономика</w:t>
            </w:r>
          </w:p>
        </w:tc>
        <w:tc>
          <w:tcPr>
            <w:tcW w:type="dxa" w:w="3288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Аналитическая интерпретация и явные допущения</w:t>
            </w:r>
          </w:p>
        </w:tc>
        <w:tc>
          <w:tcPr>
            <w:tcW w:type="dxa" w:w="4025"/>
            <w:vAlign w:val="center"/>
            <w:shd w:fill="FFFFFF"/>
            <w:tcMar>
              <w:top w:w="90" w:type="dxa"/>
              <w:bottom w:w="90" w:type="dxa"/>
              <w:left w:w="90" w:type="dxa"/>
              <w:right w:w="90" w:type="dxa"/>
            </w:tcMar>
            <w:tcBorders>
              <w:top w:val="single" w:sz="4" w:color="D9D9D9"/>
              <w:bottom w:val="single" w:sz="4" w:color="D9D9D9"/>
              <w:left w:val="single" w:sz="4" w:color="D9D9D9"/>
              <w:right w:val="single" w:sz="4" w:color="D9D9D9"/>
            </w:tcBorders>
          </w:tcPr>
          <w:p>
            <w:pPr>
              <w:spacing w:after="60" w:before="60" w:line="254" w:lineRule="auto"/>
            </w:pPr>
            <w:r>
              <w:rPr>
                <w:rFonts w:ascii="Calibri" w:hAnsi="Calibri"/>
                <w:sz w:val="21"/>
              </w:rPr>
              <w:t>Не являются гарантией результата или вероятностным прогнозом</w:t>
            </w:r>
          </w:p>
        </w:tc>
      </w:tr>
    </w:tbl>
    <w:p>
      <w:pPr>
        <w:spacing w:after="0"/>
      </w:pPr>
    </w:p>
    <w:p>
      <w:pPr>
        <w:pStyle w:val="Heading2"/>
      </w:pPr>
      <w:r>
        <w:rPr>
          <w:rFonts w:ascii="Calibri" w:hAnsi="Calibri" w:eastAsia="Calibri" w:cs="Calibri"/>
        </w:rPr>
        <w:t>Правила количественного сравнения</w:t>
      </w:r>
    </w:p>
    <w:p>
      <w:r>
        <w:rPr>
          <w:rFonts w:ascii="Calibri" w:hAnsi="Calibri" w:eastAsia="Calibri" w:cs="Calibri"/>
        </w:rPr>
        <w:t>Инвестиции не приравниваются к объёму рынка. Круговые диаграммы имеют явно обозначенную базу. Сопоставление тарифов использует одинаковый объём токенов, но не предполагает одинаковую работу. Бенчмарки разных версий и условий не объединяются в синтетический балл интеллекта.</w:t>
      </w:r>
    </w:p>
    <w:p>
      <w:pPr>
        <w:pStyle w:val="Heading2"/>
      </w:pPr>
      <w:r>
        <w:rPr>
          <w:rFonts w:ascii="Calibri" w:hAnsi="Calibri" w:eastAsia="Calibri" w:cs="Calibri"/>
        </w:rPr>
        <w:t>Финансовая модель</w:t>
      </w:r>
    </w:p>
    <w:p>
      <w:r>
        <w:rPr>
          <w:rFonts w:ascii="Calibri" w:hAnsi="Calibri" w:eastAsia="Calibri" w:cs="Calibri"/>
        </w:rPr>
        <w:t>Эффект первого года равен стоимости полезно реализованного времени с учётом месячной загрузки за вычетом запуска и эксплуатации. Сумма коэффициентов загрузки составляет 10,5. Модель предполагает постоянную стоимость часа и расходов; она не включает изменение спроса, налогов и стоимости капитала. Расчёты предназначены для проверки чувствительности решения.</w:t>
      </w:r>
    </w:p>
    <w:p>
      <w:pPr>
        <w:pStyle w:val="Caption"/>
      </w:pPr>
      <w:r>
        <w:rPr>
          <w:rFonts w:ascii="Calibri" w:hAnsi="Calibri" w:eastAsia="Calibri" w:cs="Calibri"/>
        </w:rPr>
        <w:t>Токен — единица обработки текста моделью. API — программный интерфейс доступа. Открытые веса — доступные параметры модели; условия лицензии и затраты на эксплуатацию проверяются отдельно. Ссылки на первоисточники приведены далее. Нумерация в тексте соответствует списку; все ссылки кликабельны.</w:t>
      </w:r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09   ДОКАЗАТЕЛЬНАЯ БАЗА</w:t>
      </w:r>
    </w:p>
    <w:p>
      <w:pPr>
        <w:pStyle w:val="Heading1"/>
      </w:pPr>
      <w:r>
        <w:rPr>
          <w:rFonts w:ascii="Cambria" w:hAnsi="Cambria" w:eastAsia="Cambria" w:cs="Cambria"/>
        </w:rPr>
        <w:t>Источники рынка и моделей</w:t>
      </w:r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[1] Stanford HAI. </w:t>
      </w:r>
      <w:r>
        <w:rPr>
          <w:rFonts w:ascii="Calibri" w:hAnsi="Calibri" w:eastAsia="Calibri" w:cs="Calibri"/>
          <w:sz w:val="21"/>
        </w:rPr>
        <w:t xml:space="preserve">AI Index 2026 и частные инвестиции за 2025 год. </w:t>
      </w:r>
      <w:hyperlink r:id="rId20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[2] McKinsey. </w:t>
      </w:r>
      <w:r>
        <w:rPr>
          <w:rFonts w:ascii="Calibri" w:hAnsi="Calibri" w:eastAsia="Calibri" w:cs="Calibri"/>
          <w:sz w:val="21"/>
        </w:rPr>
        <w:t xml:space="preserve">The state of AI in 2026 — 25 августа 2026. </w:t>
      </w:r>
      <w:hyperlink r:id="rId21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[3] OpenAI. </w:t>
      </w:r>
      <w:r>
        <w:rPr>
          <w:rFonts w:ascii="Calibri" w:hAnsi="Calibri" w:eastAsia="Calibri" w:cs="Calibri"/>
          <w:sz w:val="21"/>
        </w:rPr>
        <w:t xml:space="preserve">GPT 6 Astra — возможности, ограничения и тариф Standard. </w:t>
      </w:r>
      <w:hyperlink r:id="rId22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[4] Anthropic. </w:t>
      </w:r>
      <w:r>
        <w:rPr>
          <w:rFonts w:ascii="Calibri" w:hAnsi="Calibri" w:eastAsia="Calibri" w:cs="Calibri"/>
          <w:sz w:val="21"/>
        </w:rPr>
        <w:t xml:space="preserve">Claude Fable — обновление 5.1 от 01.09.2026. </w:t>
      </w:r>
      <w:hyperlink r:id="rId23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[5] Google. </w:t>
      </w:r>
      <w:r>
        <w:rPr>
          <w:rFonts w:ascii="Calibri" w:hAnsi="Calibri" w:eastAsia="Calibri" w:cs="Calibri"/>
          <w:sz w:val="21"/>
        </w:rPr>
        <w:t xml:space="preserve">Gemini 3.8 Flash и Flash Cyber от 02.09.2026. </w:t>
      </w:r>
      <w:hyperlink r:id="rId24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[6] Meta. </w:t>
      </w:r>
      <w:r>
        <w:rPr>
          <w:rFonts w:ascii="Calibri" w:hAnsi="Calibri" w:eastAsia="Calibri" w:cs="Calibri"/>
          <w:sz w:val="21"/>
        </w:rPr>
        <w:t xml:space="preserve">Muse Spark 1.3 от 02.09.2026. </w:t>
      </w:r>
      <w:hyperlink r:id="rId25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[7] xAI. </w:t>
      </w:r>
      <w:r>
        <w:rPr>
          <w:rFonts w:ascii="Calibri" w:hAnsi="Calibri" w:eastAsia="Calibri" w:cs="Calibri"/>
          <w:sz w:val="21"/>
        </w:rPr>
        <w:t xml:space="preserve">Актуальный каталог Grok и цены. </w:t>
      </w:r>
      <w:hyperlink r:id="rId26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[8] Alibaba Cloud. </w:t>
      </w:r>
      <w:r>
        <w:rPr>
          <w:rFonts w:ascii="Calibri" w:hAnsi="Calibri" w:eastAsia="Calibri" w:cs="Calibri"/>
          <w:sz w:val="21"/>
        </w:rPr>
        <w:t xml:space="preserve">Model lifecycle and updates — Qwen3.8. </w:t>
      </w:r>
      <w:hyperlink r:id="rId27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[9] DeepSeek. </w:t>
      </w:r>
      <w:r>
        <w:rPr>
          <w:rFonts w:ascii="Calibri" w:hAnsi="Calibri" w:eastAsia="Calibri" w:cs="Calibri"/>
          <w:sz w:val="21"/>
        </w:rPr>
        <w:t xml:space="preserve">Журнал обновлений API — август 2026. </w:t>
      </w:r>
      <w:hyperlink r:id="rId28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[10] DeepSeek. </w:t>
      </w:r>
      <w:r>
        <w:rPr>
          <w:rFonts w:ascii="Calibri" w:hAnsi="Calibri" w:eastAsia="Calibri" w:cs="Calibri"/>
          <w:sz w:val="21"/>
        </w:rPr>
        <w:t xml:space="preserve">DeepSeek V4 Preview — открытые веса и архитектура. </w:t>
      </w:r>
      <w:hyperlink r:id="rId29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[11] Moonshot AI. </w:t>
      </w:r>
      <w:r>
        <w:rPr>
          <w:rFonts w:ascii="Calibri" w:hAnsi="Calibri" w:eastAsia="Calibri" w:cs="Calibri"/>
          <w:sz w:val="21"/>
        </w:rPr>
        <w:t xml:space="preserve">Официальная карточка Kimi K3. </w:t>
      </w:r>
      <w:hyperlink r:id="rId30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[12] Z.ai. </w:t>
      </w:r>
      <w:r>
        <w:rPr>
          <w:rFonts w:ascii="Calibri" w:hAnsi="Calibri" w:eastAsia="Calibri" w:cs="Calibri"/>
          <w:sz w:val="21"/>
        </w:rPr>
        <w:t xml:space="preserve">GLM 5.3 — возможности и ограничения ввода. </w:t>
      </w:r>
      <w:hyperlink r:id="rId31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[13] Z.ai. </w:t>
      </w:r>
      <w:r>
        <w:rPr>
          <w:rFonts w:ascii="Calibri" w:hAnsi="Calibri" w:eastAsia="Calibri" w:cs="Calibri"/>
          <w:sz w:val="21"/>
        </w:rPr>
        <w:t xml:space="preserve">Тарифы API. </w:t>
      </w:r>
      <w:hyperlink r:id="rId32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keepNext/>
        <w:pageBreakBefore/>
        <w:spacing w:after="160"/>
      </w:pPr>
      <w:r>
        <w:rPr>
          <w:rFonts w:ascii="Calibri" w:hAnsi="Calibri" w:eastAsia="Calibri" w:cs="Calibri"/>
          <w:b/>
          <w:sz w:val="18"/>
        </w:rPr>
        <w:t>09   ДОКАЗАТЕЛЬНАЯ БАЗА</w:t>
      </w:r>
    </w:p>
    <w:p>
      <w:pPr>
        <w:pStyle w:val="Heading1"/>
      </w:pPr>
      <w:r>
        <w:rPr>
          <w:rFonts w:ascii="Cambria" w:hAnsi="Cambria" w:eastAsia="Cambria" w:cs="Cambria"/>
        </w:rPr>
        <w:t>Источники платформ и общественных оценок</w:t>
      </w:r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[14] ByteDance Seed. </w:t>
      </w:r>
      <w:r>
        <w:rPr>
          <w:rFonts w:ascii="Calibri" w:hAnsi="Calibri" w:eastAsia="Calibri" w:cs="Calibri"/>
          <w:sz w:val="21"/>
        </w:rPr>
        <w:t xml:space="preserve">Seed2.1 — Pro и Turbo. </w:t>
      </w:r>
      <w:hyperlink r:id="rId33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[15] ByteDance Seed. </w:t>
      </w:r>
      <w:r>
        <w:rPr>
          <w:rFonts w:ascii="Calibri" w:hAnsi="Calibri" w:eastAsia="Calibri" w:cs="Calibri"/>
          <w:sz w:val="21"/>
        </w:rPr>
        <w:t xml:space="preserve">Seedance 2.5 — генерация аудиовидео. </w:t>
      </w:r>
      <w:hyperlink r:id="rId34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[16] MiniMax. </w:t>
      </w:r>
      <w:r>
        <w:rPr>
          <w:rFonts w:ascii="Calibri" w:hAnsi="Calibri" w:eastAsia="Calibri" w:cs="Calibri"/>
          <w:sz w:val="21"/>
        </w:rPr>
        <w:t xml:space="preserve">M3 — программирование и мультимодальность. </w:t>
      </w:r>
      <w:hyperlink r:id="rId35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[17] MiniMax. </w:t>
      </w:r>
      <w:r>
        <w:rPr>
          <w:rFonts w:ascii="Calibri" w:hAnsi="Calibri" w:eastAsia="Calibri" w:cs="Calibri"/>
          <w:sz w:val="21"/>
        </w:rPr>
        <w:t xml:space="preserve">Каталог релизов H3 и Music 3.0. </w:t>
      </w:r>
      <w:hyperlink r:id="rId36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[18] Microsoft. </w:t>
      </w:r>
      <w:r>
        <w:rPr>
          <w:rFonts w:ascii="Calibri" w:hAnsi="Calibri" w:eastAsia="Calibri" w:cs="Calibri"/>
          <w:sz w:val="21"/>
        </w:rPr>
        <w:t xml:space="preserve">Microsoft 365 Roadmap — AI at Work. </w:t>
      </w:r>
      <w:hyperlink r:id="rId37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[19] NVIDIA. </w:t>
      </w:r>
      <w:r>
        <w:rPr>
          <w:rFonts w:ascii="Calibri" w:hAnsi="Calibri" w:eastAsia="Calibri" w:cs="Calibri"/>
          <w:sz w:val="21"/>
        </w:rPr>
        <w:t xml:space="preserve">Vera Rubin — вычислительная платформа. </w:t>
      </w:r>
      <w:hyperlink r:id="rId38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[20] Huawei Cloud. </w:t>
      </w:r>
      <w:r>
        <w:rPr>
          <w:rFonts w:ascii="Calibri" w:hAnsi="Calibri" w:eastAsia="Calibri" w:cs="Calibri"/>
          <w:sz w:val="21"/>
        </w:rPr>
        <w:t xml:space="preserve">Pangu — отраслевые модели. </w:t>
      </w:r>
      <w:hyperlink r:id="rId39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[21] ILO–NASK. </w:t>
      </w:r>
      <w:r>
        <w:rPr>
          <w:rFonts w:ascii="Calibri" w:hAnsi="Calibri" w:eastAsia="Calibri" w:cs="Calibri"/>
          <w:sz w:val="21"/>
        </w:rPr>
        <w:t xml:space="preserve">Generative AI and jobs — оценка подверженности 2025. </w:t>
      </w:r>
      <w:hyperlink r:id="rId40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[22] ILO–NASK. </w:t>
      </w:r>
      <w:r>
        <w:rPr>
          <w:rFonts w:ascii="Calibri" w:hAnsi="Calibri" w:eastAsia="Calibri" w:cs="Calibri"/>
          <w:sz w:val="21"/>
        </w:rPr>
        <w:t xml:space="preserve">Глобальный индекс подверженности занятости — 20 мая 2025. </w:t>
      </w:r>
      <w:hyperlink r:id="rId41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[23] IEA. </w:t>
      </w:r>
      <w:r>
        <w:rPr>
          <w:rFonts w:ascii="Calibri" w:hAnsi="Calibri" w:eastAsia="Calibri" w:cs="Calibri"/>
          <w:sz w:val="21"/>
        </w:rPr>
        <w:t xml:space="preserve">Key Questions on Energy and AI — обновлённый прогноз 2026. </w:t>
      </w:r>
      <w:hyperlink r:id="rId42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[24] International AI Safety Report. </w:t>
      </w:r>
      <w:r>
        <w:rPr>
          <w:rFonts w:ascii="Calibri" w:hAnsi="Calibri" w:eastAsia="Calibri" w:cs="Calibri"/>
          <w:sz w:val="21"/>
        </w:rPr>
        <w:t xml:space="preserve">Международная оценка рисков общего ИИ 2026. </w:t>
      </w:r>
      <w:hyperlink r:id="rId43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p>
      <w:pPr>
        <w:spacing w:after="200" w:line="259" w:lineRule="auto"/>
      </w:pPr>
      <w:r>
        <w:rPr>
          <w:rFonts w:ascii="Calibri" w:hAnsi="Calibri" w:eastAsia="Calibri" w:cs="Calibri"/>
          <w:b/>
          <w:sz w:val="21"/>
        </w:rPr>
        <w:t xml:space="preserve">[25] NIST. </w:t>
      </w:r>
      <w:r>
        <w:rPr>
          <w:rFonts w:ascii="Calibri" w:hAnsi="Calibri" w:eastAsia="Calibri" w:cs="Calibri"/>
          <w:sz w:val="21"/>
        </w:rPr>
        <w:t xml:space="preserve">AI 600-1 — риски генеративного ИИ и взаимодействия с человеком. </w:t>
      </w:r>
      <w:hyperlink r:id="rId44">
        <w:r>
          <w:rPr>
            <w:rFonts w:ascii="Calibri" w:hAnsi="Calibri" w:cs="Calibri"/>
            <w:color w:val="163F60"/>
            <w:sz w:val="21"/>
          </w:rPr>
          <w:t>Первоисточник</w:t>
        </w:r>
      </w:hyperlink>
    </w:p>
    <w:sectPr w:rsidR="00FC693F" w:rsidRPr="0006063C" w:rsidSect="00034616">
      <w:headerReference w:type="default" r:id="rId9"/>
      <w:footerReference w:type="default" r:id="rId10"/>
      <w:pgSz w:w="11906" w:h="16838"/>
      <w:pgMar w:top="1106" w:right="1134" w:bottom="1020" w:left="1134" w:header="454" w:footer="48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rFonts w:ascii="Calibri" w:hAnsi="Calibri" w:eastAsia="Calibri" w:cs="Calibri"/>
      </w:rPr>
      <w:t>СТРАТЕГИЧЕСКИЙ И МАРКЕТИНГОВЫЙ АНАЛИЗ</w:t>
      <w:tab/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</w:pPr>
    <w:r>
      <w:rPr>
        <w:rFonts w:ascii="Calibri" w:hAnsi="Calibri" w:eastAsia="Calibri" w:cs="Calibri"/>
      </w:rPr>
      <w:t>ЯСНОКОР  /  АНАЛИТИКА</w:t>
      <w:tab/>
      <w:t>США И КИТАЙ   /  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before="0" w:after="140" w:line="278" w:lineRule="auto"/>
    </w:pPr>
    <w:rPr>
      <w:rFonts w:ascii="Calibri" w:hAnsi="Calibri" w:eastAsia="Calibri" w:cs="Calibri"/>
      <w:b w:val="0"/>
      <w:i w:val="0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widowControl/>
      <w:spacing w:after="0" w:line="240" w:lineRule="auto" w:before="0"/>
    </w:pPr>
    <w:rPr>
      <w:rFonts w:ascii="Calibri" w:hAnsi="Calibri" w:eastAsia="Calibri" w:cs="Calibri"/>
      <w:b w:val="0"/>
      <w:i w:val="0"/>
      <w:color w:val="000000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widowControl/>
      <w:spacing w:after="0" w:line="240" w:lineRule="auto" w:before="0"/>
    </w:pPr>
    <w:rPr>
      <w:rFonts w:ascii="Calibri" w:hAnsi="Calibri" w:eastAsia="Calibri" w:cs="Calibri"/>
      <w:b w:val="0"/>
      <w:i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0" w:after="240" w:line="254" w:lineRule="auto"/>
      <w:outlineLvl w:val="0"/>
    </w:pPr>
    <w:rPr>
      <w:rFonts w:ascii="Cambria" w:hAnsi="Cambria" w:eastAsia="Cambria" w:cs="Cambria"/>
      <w:b/>
      <w:bCs/>
      <w:i w:val="0"/>
      <w:color w:val="00000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60" w:after="120" w:line="259" w:lineRule="auto"/>
      <w:outlineLvl w:val="1"/>
    </w:pPr>
    <w:rPr>
      <w:rFonts w:ascii="Calibri" w:hAnsi="Calibri" w:eastAsia="Calibri" w:cs="Calibri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widowControl/>
      <w:spacing w:before="180" w:after="80" w:line="278" w:lineRule="auto"/>
      <w:outlineLvl w:val="2"/>
    </w:pPr>
    <w:rPr>
      <w:rFonts w:ascii="Calibri" w:hAnsi="Calibri" w:eastAsia="Calibri" w:cs="Calibri"/>
      <w:b/>
      <w:bCs/>
      <w:i w:val="0"/>
      <w:color w:val="000000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300" w:line="245" w:lineRule="auto" w:before="0"/>
    </w:pPr>
    <w:rPr>
      <w:rFonts w:ascii="Cambria" w:hAnsi="Cambria" w:eastAsia="Cambria" w:cs="Cambria"/>
      <w:b/>
      <w:i w:val="0"/>
      <w:color w:val="000000"/>
      <w:spacing w:val="5"/>
      <w:kern w:val="28"/>
      <w:sz w:val="7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widowControl/>
      <w:numPr>
        <w:ilvl w:val="1"/>
      </w:numPr>
      <w:spacing w:before="0" w:after="300" w:line="278" w:lineRule="auto"/>
    </w:pPr>
    <w:rPr>
      <w:rFonts w:ascii="Calibri" w:hAnsi="Calibri" w:eastAsia="Calibri" w:cs="Calibri"/>
      <w:b w:val="0"/>
      <w:i w:val="0"/>
      <w:iCs/>
      <w:color w:val="000000"/>
      <w:spacing w:val="15"/>
      <w:sz w:val="3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widowControl/>
      <w:spacing w:line="264" w:lineRule="auto" w:before="0" w:after="180"/>
    </w:pPr>
    <w:rPr>
      <w:rFonts w:ascii="Calibri" w:hAnsi="Calibri" w:eastAsia="Calibri" w:cs="Calibri"/>
      <w:b w:val="0"/>
      <w:bCs/>
      <w:i w:val="0"/>
      <w:color w:val="000000"/>
      <w:sz w:val="19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hyperlink" Target="AI_Executive_Interactive.html" TargetMode="External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hyperlink" Target="https://hai.stanford.edu/ai-index/2026-ai-index-report" TargetMode="External"/><Relationship Id="rId21" Type="http://schemas.openxmlformats.org/officeDocument/2006/relationships/hyperlink" Target="https://www.mckinsey.com/capabilities/quantumblack/our-insights/the-state-of-ai" TargetMode="External"/><Relationship Id="rId22" Type="http://schemas.openxmlformats.org/officeDocument/2006/relationships/hyperlink" Target="https://openai.com/index/gpt-6-astra/" TargetMode="External"/><Relationship Id="rId23" Type="http://schemas.openxmlformats.org/officeDocument/2006/relationships/hyperlink" Target="https://www.anthropic.com/claude/fable" TargetMode="External"/><Relationship Id="rId24" Type="http://schemas.openxmlformats.org/officeDocument/2006/relationships/hyperlink" Target="https://blog.google/innovation-and-ai/models-and-research/gemini-models/3-8-flash-and-3-8-flash-cyber/" TargetMode="External"/><Relationship Id="rId25" Type="http://schemas.openxmlformats.org/officeDocument/2006/relationships/hyperlink" Target="https://research.meta.ai/blog/introducing-muse-spark-1-3" TargetMode="External"/><Relationship Id="rId26" Type="http://schemas.openxmlformats.org/officeDocument/2006/relationships/hyperlink" Target="https://docs.x.ai/developers/models" TargetMode="External"/><Relationship Id="rId27" Type="http://schemas.openxmlformats.org/officeDocument/2006/relationships/hyperlink" Target="https://www.alibabacloud.com/help/en/model-studio/newly-released-models" TargetMode="External"/><Relationship Id="rId28" Type="http://schemas.openxmlformats.org/officeDocument/2006/relationships/hyperlink" Target="https://api-docs.deepseek.com/updates/" TargetMode="External"/><Relationship Id="rId29" Type="http://schemas.openxmlformats.org/officeDocument/2006/relationships/hyperlink" Target="https://deepseek.com/en/news/v4-preview/" TargetMode="External"/><Relationship Id="rId30" Type="http://schemas.openxmlformats.org/officeDocument/2006/relationships/hyperlink" Target="https://huggingface.co/moonshotai/Kimi-K3" TargetMode="External"/><Relationship Id="rId31" Type="http://schemas.openxmlformats.org/officeDocument/2006/relationships/hyperlink" Target="https://docs.z.ai/guides/llm/glm-5.3" TargetMode="External"/><Relationship Id="rId32" Type="http://schemas.openxmlformats.org/officeDocument/2006/relationships/hyperlink" Target="https://docs.z.ai/guides/overview/pricing" TargetMode="External"/><Relationship Id="rId33" Type="http://schemas.openxmlformats.org/officeDocument/2006/relationships/hyperlink" Target="https://seed.bytedance.com/zh/seed2_1" TargetMode="External"/><Relationship Id="rId34" Type="http://schemas.openxmlformats.org/officeDocument/2006/relationships/hyperlink" Target="https://seed.bytedance.com/zh/seedance2_5" TargetMode="External"/><Relationship Id="rId35" Type="http://schemas.openxmlformats.org/officeDocument/2006/relationships/hyperlink" Target="https://www.minimax.io/blog/minimax-m3" TargetMode="External"/><Relationship Id="rId36" Type="http://schemas.openxmlformats.org/officeDocument/2006/relationships/hyperlink" Target="https://www.minimax.io/" TargetMode="External"/><Relationship Id="rId37" Type="http://schemas.openxmlformats.org/officeDocument/2006/relationships/hyperlink" Target="https://www.microsoft.com/en-us/microsoft-365/roadmap" TargetMode="External"/><Relationship Id="rId38" Type="http://schemas.openxmlformats.org/officeDocument/2006/relationships/hyperlink" Target="https://www.nvidia.com/en-us/data-center/technologies/rubin/" TargetMode="External"/><Relationship Id="rId39" Type="http://schemas.openxmlformats.org/officeDocument/2006/relationships/hyperlink" Target="https://www.huaweicloud.com/intl/en-us/product/pangu.html" TargetMode="External"/><Relationship Id="rId40" Type="http://schemas.openxmlformats.org/officeDocument/2006/relationships/hyperlink" Target="https://www.ilo.org/publications/generative-ai-and-jobs-2025-update" TargetMode="External"/><Relationship Id="rId41" Type="http://schemas.openxmlformats.org/officeDocument/2006/relationships/hyperlink" Target="https://www.ilo.org/resource/news/one-four-jobs-risk-being-transformed-genai-new-ilo%E2%80%93nask-global-index-shows" TargetMode="External"/><Relationship Id="rId42" Type="http://schemas.openxmlformats.org/officeDocument/2006/relationships/hyperlink" Target="https://www.iea.org/reports/key-questions-on-energy-and-ai/executive-summary" TargetMode="External"/><Relationship Id="rId43" Type="http://schemas.openxmlformats.org/officeDocument/2006/relationships/hyperlink" Target="https://internationalaisafetyreport.org/publication/international-ai-safety-report-2026" TargetMode="External"/><Relationship Id="rId44" Type="http://schemas.openxmlformats.org/officeDocument/2006/relationships/hyperlink" Target="https://nvlpubs.nist.gov/nistpubs/ai/NIST.AI.600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Искусственный интеллект США и Китая</dc:title>
  <dc:subject>Стратегический и маркетинговый анализ рынка в 2026 году</dc:subject>
  <dc:creator>ЯСНОКОР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